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8E4FA4">
        <w:rPr>
          <w:rFonts w:ascii="Times New Roman" w:hAnsi="Times New Roman"/>
          <w:sz w:val="28"/>
          <w:szCs w:val="28"/>
        </w:rPr>
        <w:t>от</w:t>
      </w:r>
      <w:r w:rsidR="003E1586" w:rsidRPr="008E4FA4">
        <w:rPr>
          <w:rFonts w:ascii="Times New Roman" w:hAnsi="Times New Roman"/>
          <w:sz w:val="28"/>
          <w:szCs w:val="28"/>
        </w:rPr>
        <w:t xml:space="preserve">  </w:t>
      </w:r>
      <w:r w:rsidR="003E2211">
        <w:rPr>
          <w:rFonts w:ascii="Times New Roman" w:hAnsi="Times New Roman"/>
          <w:sz w:val="28"/>
          <w:szCs w:val="28"/>
        </w:rPr>
        <w:t>26.05.2023</w:t>
      </w:r>
      <w:r w:rsidR="008C6132" w:rsidRPr="008E4FA4">
        <w:rPr>
          <w:rFonts w:ascii="Times New Roman" w:hAnsi="Times New Roman"/>
          <w:color w:val="FF0000"/>
          <w:sz w:val="28"/>
          <w:szCs w:val="28"/>
        </w:rPr>
        <w:t xml:space="preserve"> </w:t>
      </w:r>
      <w:r w:rsidR="008C6132" w:rsidRPr="008E4FA4">
        <w:rPr>
          <w:rFonts w:ascii="Times New Roman" w:hAnsi="Times New Roman"/>
          <w:sz w:val="28"/>
          <w:szCs w:val="28"/>
        </w:rPr>
        <w:t xml:space="preserve">№ </w:t>
      </w:r>
      <w:r w:rsidR="00193CCF" w:rsidRPr="008E4FA4">
        <w:rPr>
          <w:rFonts w:ascii="Times New Roman" w:hAnsi="Times New Roman"/>
          <w:sz w:val="28"/>
          <w:szCs w:val="28"/>
        </w:rPr>
        <w:t xml:space="preserve"> </w:t>
      </w:r>
      <w:r w:rsidR="003E2211">
        <w:rPr>
          <w:rFonts w:ascii="Times New Roman" w:hAnsi="Times New Roman"/>
          <w:sz w:val="28"/>
          <w:szCs w:val="28"/>
        </w:rPr>
        <w:t>1081-р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EB06F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0B0D1B" w:rsidRPr="000B0D1B" w:rsidRDefault="000B0D1B" w:rsidP="000B0D1B">
      <w:pPr>
        <w:rPr>
          <w:b/>
          <w:sz w:val="28"/>
          <w:szCs w:val="28"/>
        </w:rPr>
      </w:pPr>
      <w:r w:rsidRPr="000B0D1B">
        <w:rPr>
          <w:b/>
          <w:sz w:val="28"/>
          <w:szCs w:val="28"/>
        </w:rPr>
        <w:t>Лот № 1</w:t>
      </w:r>
    </w:p>
    <w:p w:rsidR="000B0D1B" w:rsidRPr="000B0D1B" w:rsidRDefault="000B0D1B" w:rsidP="000B0D1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03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26,60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 xml:space="preserve">(об </w:t>
            </w:r>
            <w:r w:rsidRPr="000B0D1B">
              <w:rPr>
                <w:sz w:val="28"/>
                <w:szCs w:val="28"/>
                <w:lang w:bidi="ru-RU"/>
              </w:rPr>
              <w:lastRenderedPageBreak/>
              <w:t>итогах аукциона)</w:t>
            </w:r>
            <w:r w:rsidRPr="000B0D1B">
              <w:rPr>
                <w:kern w:val="2"/>
                <w:sz w:val="28"/>
                <w:szCs w:val="28"/>
              </w:rPr>
              <w:t>, за исключением задатка</w:t>
            </w:r>
          </w:p>
        </w:tc>
      </w:tr>
    </w:tbl>
    <w:p w:rsidR="000B0D1B" w:rsidRPr="000B0D1B" w:rsidRDefault="000B0D1B" w:rsidP="000B0D1B">
      <w:pPr>
        <w:rPr>
          <w:b/>
        </w:rPr>
      </w:pPr>
    </w:p>
    <w:p w:rsidR="000B0D1B" w:rsidRPr="000B0D1B" w:rsidRDefault="000B0D1B" w:rsidP="000B0D1B">
      <w:pPr>
        <w:rPr>
          <w:b/>
        </w:rPr>
      </w:pPr>
    </w:p>
    <w:p w:rsidR="000B0D1B" w:rsidRPr="000B0D1B" w:rsidRDefault="000B0D1B" w:rsidP="000B0D1B">
      <w:pPr>
        <w:rPr>
          <w:b/>
          <w:sz w:val="28"/>
          <w:szCs w:val="28"/>
        </w:rPr>
      </w:pPr>
      <w:r w:rsidRPr="000B0D1B">
        <w:rPr>
          <w:b/>
          <w:sz w:val="28"/>
          <w:szCs w:val="28"/>
        </w:rPr>
        <w:t>Лот № 2</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04(в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Строительная</w:t>
            </w:r>
            <w:proofErr w:type="gramEnd"/>
            <w:r w:rsidRPr="000B0D1B">
              <w:rPr>
                <w:sz w:val="28"/>
                <w:szCs w:val="28"/>
              </w:rPr>
              <w:t>, 2,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26,60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lastRenderedPageBreak/>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3</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06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Азина, 3/1,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27,45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4</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07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Приморский бульвар, с торца дома № 29,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567,00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567,00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28,35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w:t>
            </w:r>
            <w:r w:rsidRPr="000B0D1B">
              <w:rPr>
                <w:sz w:val="28"/>
                <w:szCs w:val="28"/>
              </w:rPr>
              <w:lastRenderedPageBreak/>
              <w:t xml:space="preserve">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5</w:t>
      </w:r>
    </w:p>
    <w:p w:rsidR="000B0D1B" w:rsidRPr="000B0D1B" w:rsidRDefault="000B0D1B" w:rsidP="000B0D1B">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08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напротив дома № 7,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w:t>
            </w:r>
            <w:r w:rsidRPr="000B0D1B">
              <w:rPr>
                <w:sz w:val="28"/>
                <w:szCs w:val="28"/>
              </w:rPr>
              <w:lastRenderedPageBreak/>
              <w:t xml:space="preserve">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35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с торца административного здания № 37,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w:t>
            </w:r>
            <w:r w:rsidRPr="000B0D1B">
              <w:rPr>
                <w:sz w:val="28"/>
                <w:szCs w:val="28"/>
              </w:rPr>
              <w:lastRenderedPageBreak/>
              <w:t xml:space="preserve">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Контейнер </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39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отделения Почтовой связи,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40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павильоном «Цветы»,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31,25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w:t>
            </w:r>
            <w:r w:rsidRPr="000B0D1B">
              <w:rPr>
                <w:sz w:val="28"/>
                <w:szCs w:val="28"/>
              </w:rPr>
              <w:lastRenderedPageBreak/>
              <w:t xml:space="preserve">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41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Карла Маркса, рядом с домом 24,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31,25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w:t>
            </w:r>
            <w:r w:rsidRPr="000B0D1B">
              <w:rPr>
                <w:sz w:val="28"/>
                <w:szCs w:val="28"/>
              </w:rPr>
              <w:lastRenderedPageBreak/>
              <w:t xml:space="preserve">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43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им. Пушкина А.С. по ул. Мира,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625,00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31,25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w:t>
            </w:r>
            <w:r w:rsidRPr="000B0D1B">
              <w:rPr>
                <w:sz w:val="28"/>
                <w:szCs w:val="28"/>
              </w:rPr>
              <w:lastRenderedPageBreak/>
              <w:t xml:space="preserve">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45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Ленина, Аллея Славы, напротив клумбы,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47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вдоль дома № 36,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49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Ленина в районе Пенсионного фонда,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636,00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31,80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53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Сосновая</w:t>
            </w:r>
            <w:proofErr w:type="gramEnd"/>
            <w:r w:rsidRPr="000B0D1B">
              <w:rPr>
                <w:sz w:val="28"/>
                <w:szCs w:val="28"/>
              </w:rPr>
              <w:t>, рядом с домом 19,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аукциона -  «шаг аукциона» (5% от </w:t>
            </w:r>
            <w:r w:rsidRPr="000B0D1B">
              <w:rPr>
                <w:bCs/>
                <w:sz w:val="28"/>
                <w:szCs w:val="28"/>
              </w:rPr>
              <w:lastRenderedPageBreak/>
              <w:t>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27,45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Контейнер</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56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Ул. 40 лет Октября, между домами № 14 и 16,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549,00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Величина повышения начальной цены </w:t>
            </w:r>
            <w:r w:rsidRPr="000B0D1B">
              <w:rPr>
                <w:bCs/>
                <w:sz w:val="28"/>
                <w:szCs w:val="28"/>
              </w:rPr>
              <w:lastRenderedPageBreak/>
              <w:t>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lastRenderedPageBreak/>
              <w:t>27,45</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Лоток (холодильное оборудование)</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58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Сквер по ул. Декабристов, 7,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1,0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554,00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554,00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27,70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0B0D1B" w:rsidRPr="000B0D1B" w:rsidRDefault="000B0D1B" w:rsidP="000B0D1B">
      <w:pPr>
        <w:rPr>
          <w:b/>
          <w:sz w:val="28"/>
          <w:szCs w:val="28"/>
        </w:rPr>
      </w:pPr>
      <w:r w:rsidRPr="000B0D1B">
        <w:rPr>
          <w:b/>
          <w:sz w:val="28"/>
          <w:szCs w:val="28"/>
        </w:rPr>
        <w:t>Лот № 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Лоток </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60 (в соответствии со Схемой размещения нестационарных торговых объектов Чайковского городского округа, часть 2)</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 xml:space="preserve">Ул. </w:t>
            </w:r>
            <w:proofErr w:type="gramStart"/>
            <w:r w:rsidRPr="000B0D1B">
              <w:rPr>
                <w:sz w:val="28"/>
                <w:szCs w:val="28"/>
              </w:rPr>
              <w:t>Советская</w:t>
            </w:r>
            <w:proofErr w:type="gramEnd"/>
            <w:r w:rsidRPr="000B0D1B">
              <w:rPr>
                <w:sz w:val="28"/>
                <w:szCs w:val="28"/>
              </w:rPr>
              <w:t>, 12/1,                         г. Чайковский</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8,0</w:t>
            </w:r>
          </w:p>
        </w:tc>
      </w:tr>
      <w:tr w:rsidR="000B0D1B" w:rsidRPr="000B0D1B" w:rsidTr="00C254F8">
        <w:trPr>
          <w:trHeight w:val="22"/>
        </w:trPr>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r w:rsidRPr="000B0D1B">
              <w:rPr>
                <w:sz w:val="28"/>
                <w:szCs w:val="28"/>
              </w:rPr>
              <w:t>Горячие и прохладительные напитки, мороженое</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sz w:val="28"/>
                <w:szCs w:val="28"/>
                <w:highlight w:val="yellow"/>
              </w:rPr>
            </w:pPr>
            <w:r w:rsidRPr="000B0D1B">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spacing w:line="256" w:lineRule="auto"/>
              <w:rPr>
                <w:sz w:val="28"/>
                <w:szCs w:val="28"/>
              </w:rPr>
            </w:pPr>
            <w:proofErr w:type="gramStart"/>
            <w:r w:rsidRPr="000B0D1B">
              <w:rPr>
                <w:sz w:val="28"/>
                <w:szCs w:val="28"/>
              </w:rPr>
              <w:t>С даты заключения</w:t>
            </w:r>
            <w:proofErr w:type="gramEnd"/>
            <w:r w:rsidRPr="000B0D1B">
              <w:rPr>
                <w:sz w:val="28"/>
                <w:szCs w:val="28"/>
              </w:rPr>
              <w:t xml:space="preserve"> договора по 30.09.2023 г.</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4432,00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4432,00</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221,60</w:t>
            </w:r>
          </w:p>
          <w:p w:rsidR="000B0D1B" w:rsidRPr="000B0D1B" w:rsidRDefault="000B0D1B" w:rsidP="000B0D1B">
            <w:pPr>
              <w:autoSpaceDE w:val="0"/>
              <w:autoSpaceDN w:val="0"/>
              <w:adjustRightInd w:val="0"/>
              <w:spacing w:line="256" w:lineRule="auto"/>
              <w:rPr>
                <w:sz w:val="28"/>
                <w:szCs w:val="28"/>
              </w:rPr>
            </w:pP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Юридические лица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и индивидуальные </w:t>
            </w:r>
          </w:p>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w:t>
            </w:r>
          </w:p>
        </w:tc>
      </w:tr>
      <w:tr w:rsidR="000B0D1B" w:rsidRPr="000B0D1B" w:rsidTr="00C254F8">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autoSpaceDE w:val="0"/>
              <w:autoSpaceDN w:val="0"/>
              <w:adjustRightInd w:val="0"/>
              <w:spacing w:line="256" w:lineRule="auto"/>
              <w:rPr>
                <w:sz w:val="28"/>
                <w:szCs w:val="28"/>
              </w:rPr>
            </w:pPr>
            <w:r w:rsidRPr="000B0D1B">
              <w:rPr>
                <w:sz w:val="28"/>
                <w:szCs w:val="28"/>
              </w:rPr>
              <w:t xml:space="preserve">Не ранее чем через 10 рабочих дней и не позднее 20 рабочих дней </w:t>
            </w:r>
            <w:proofErr w:type="gramStart"/>
            <w:r w:rsidRPr="000B0D1B">
              <w:rPr>
                <w:sz w:val="28"/>
                <w:szCs w:val="28"/>
              </w:rPr>
              <w:t>с даты размещения</w:t>
            </w:r>
            <w:proofErr w:type="gramEnd"/>
            <w:r w:rsidRPr="000B0D1B">
              <w:rPr>
                <w:sz w:val="28"/>
                <w:szCs w:val="28"/>
              </w:rPr>
              <w:t xml:space="preserve"> на электронной площадке протокола рассмотрения заявок на участие в аукционе </w:t>
            </w:r>
            <w:r w:rsidRPr="000B0D1B">
              <w:rPr>
                <w:sz w:val="28"/>
                <w:szCs w:val="28"/>
              </w:rPr>
              <w:br/>
              <w:t>(об итогах аукциона)</w:t>
            </w:r>
          </w:p>
        </w:tc>
      </w:tr>
      <w:tr w:rsidR="000B0D1B" w:rsidRPr="000B0D1B" w:rsidTr="00C254F8">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0B0D1B" w:rsidRPr="000B0D1B" w:rsidRDefault="000B0D1B" w:rsidP="000B0D1B">
            <w:pPr>
              <w:tabs>
                <w:tab w:val="center" w:pos="5076"/>
              </w:tabs>
              <w:spacing w:line="256" w:lineRule="auto"/>
              <w:outlineLvl w:val="0"/>
              <w:rPr>
                <w:bCs/>
                <w:sz w:val="28"/>
                <w:szCs w:val="28"/>
              </w:rPr>
            </w:pPr>
            <w:r w:rsidRPr="000B0D1B">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0B0D1B" w:rsidRPr="000B0D1B" w:rsidRDefault="000B0D1B" w:rsidP="000B0D1B">
            <w:pPr>
              <w:spacing w:line="256" w:lineRule="auto"/>
              <w:rPr>
                <w:sz w:val="28"/>
                <w:szCs w:val="28"/>
              </w:rPr>
            </w:pPr>
            <w:r w:rsidRPr="000B0D1B">
              <w:rPr>
                <w:sz w:val="28"/>
                <w:szCs w:val="28"/>
              </w:rPr>
              <w:t xml:space="preserve">Итоговая цена аукциона (плата за право размещения НТО) вносится в течение десяти дней </w:t>
            </w:r>
            <w:r w:rsidRPr="000B0D1B">
              <w:rPr>
                <w:kern w:val="2"/>
                <w:sz w:val="28"/>
                <w:szCs w:val="28"/>
              </w:rPr>
              <w:t xml:space="preserve">с момента подписания протокола  рассмотрения заявок на участие в аукционе </w:t>
            </w:r>
            <w:r w:rsidRPr="000B0D1B">
              <w:rPr>
                <w:sz w:val="28"/>
                <w:szCs w:val="28"/>
                <w:lang w:bidi="ru-RU"/>
              </w:rPr>
              <w:t>(об итогах аукциона)</w:t>
            </w:r>
            <w:r w:rsidRPr="000B0D1B">
              <w:rPr>
                <w:kern w:val="2"/>
                <w:sz w:val="28"/>
                <w:szCs w:val="28"/>
              </w:rPr>
              <w:t>, за исключением задатка</w:t>
            </w:r>
          </w:p>
        </w:tc>
      </w:tr>
    </w:tbl>
    <w:p w:rsidR="000B0D1B" w:rsidRPr="000B0D1B" w:rsidRDefault="000B0D1B" w:rsidP="000B0D1B">
      <w:pPr>
        <w:rPr>
          <w:b/>
          <w:sz w:val="28"/>
          <w:szCs w:val="28"/>
        </w:rPr>
      </w:pPr>
    </w:p>
    <w:p w:rsidR="006019F7" w:rsidRDefault="006019F7"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103A1A">
        <w:rPr>
          <w:rFonts w:eastAsia="Courier New"/>
          <w:sz w:val="28"/>
          <w:szCs w:val="28"/>
          <w:lang w:bidi="ru-RU"/>
        </w:rPr>
        <w:t>30</w:t>
      </w:r>
      <w:r w:rsidR="00D26F53" w:rsidRPr="000B0D1B">
        <w:rPr>
          <w:rFonts w:eastAsia="Courier New"/>
          <w:sz w:val="28"/>
          <w:szCs w:val="28"/>
          <w:lang w:bidi="ru-RU"/>
        </w:rPr>
        <w:t>.0</w:t>
      </w:r>
      <w:r w:rsidR="00E26F95">
        <w:rPr>
          <w:rFonts w:eastAsia="Courier New"/>
          <w:sz w:val="28"/>
          <w:szCs w:val="28"/>
          <w:lang w:bidi="ru-RU"/>
        </w:rPr>
        <w:t>5</w:t>
      </w:r>
      <w:r w:rsidR="000C05AB" w:rsidRPr="000B0D1B">
        <w:rPr>
          <w:rFonts w:eastAsia="Courier New"/>
          <w:sz w:val="28"/>
          <w:szCs w:val="28"/>
          <w:lang w:bidi="ru-RU"/>
        </w:rPr>
        <w:t>.202</w:t>
      </w:r>
      <w:r w:rsidR="0090209E" w:rsidRPr="000B0D1B">
        <w:rPr>
          <w:rFonts w:eastAsia="Courier New"/>
          <w:sz w:val="28"/>
          <w:szCs w:val="28"/>
          <w:lang w:bidi="ru-RU"/>
        </w:rPr>
        <w:t>3</w:t>
      </w:r>
      <w:r w:rsidR="00216483" w:rsidRPr="000B0D1B">
        <w:rPr>
          <w:rFonts w:eastAsia="Courier New"/>
          <w:sz w:val="28"/>
          <w:szCs w:val="28"/>
          <w:lang w:bidi="ru-RU"/>
        </w:rPr>
        <w:t xml:space="preserve"> </w:t>
      </w:r>
      <w:r w:rsidR="00216483" w:rsidRPr="00495AE7">
        <w:rPr>
          <w:rFonts w:eastAsia="Courier New"/>
          <w:sz w:val="28"/>
          <w:szCs w:val="28"/>
          <w:lang w:bidi="ru-RU"/>
        </w:rPr>
        <w:t>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6019F7" w:rsidRPr="000B0D1B">
        <w:rPr>
          <w:rFonts w:eastAsia="Courier New"/>
          <w:sz w:val="28"/>
          <w:szCs w:val="28"/>
          <w:lang w:bidi="ru-RU"/>
        </w:rPr>
        <w:t>2</w:t>
      </w:r>
      <w:r w:rsidR="00103A1A">
        <w:rPr>
          <w:rFonts w:eastAsia="Courier New"/>
          <w:sz w:val="28"/>
          <w:szCs w:val="28"/>
          <w:lang w:bidi="ru-RU"/>
        </w:rPr>
        <w:t>6</w:t>
      </w:r>
      <w:r w:rsidR="00E86873" w:rsidRPr="000B0D1B">
        <w:rPr>
          <w:rFonts w:eastAsia="Courier New"/>
          <w:sz w:val="28"/>
          <w:szCs w:val="28"/>
          <w:lang w:bidi="ru-RU"/>
        </w:rPr>
        <w:t>.0</w:t>
      </w:r>
      <w:r w:rsidR="00E26F95">
        <w:rPr>
          <w:rFonts w:eastAsia="Courier New"/>
          <w:sz w:val="28"/>
          <w:szCs w:val="28"/>
          <w:lang w:bidi="ru-RU"/>
        </w:rPr>
        <w:t>6</w:t>
      </w:r>
      <w:r w:rsidRPr="000B0D1B">
        <w:rPr>
          <w:rFonts w:eastAsia="Courier New"/>
          <w:sz w:val="28"/>
          <w:szCs w:val="28"/>
          <w:lang w:bidi="ru-RU"/>
        </w:rPr>
        <w:t>.20</w:t>
      </w:r>
      <w:r w:rsidR="00E3190C" w:rsidRPr="000B0D1B">
        <w:rPr>
          <w:rFonts w:eastAsia="Courier New"/>
          <w:sz w:val="28"/>
          <w:szCs w:val="28"/>
          <w:lang w:bidi="ru-RU"/>
        </w:rPr>
        <w:t>2</w:t>
      </w:r>
      <w:r w:rsidR="0090209E" w:rsidRPr="000B0D1B">
        <w:rPr>
          <w:rFonts w:eastAsia="Courier New"/>
          <w:sz w:val="28"/>
          <w:szCs w:val="28"/>
          <w:lang w:bidi="ru-RU"/>
        </w:rPr>
        <w:t>3</w:t>
      </w:r>
      <w:r w:rsidRPr="000B0D1B">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CB5F40" w:rsidRPr="000B0D1B">
        <w:rPr>
          <w:rFonts w:eastAsia="Courier New"/>
          <w:sz w:val="28"/>
          <w:szCs w:val="28"/>
          <w:lang w:bidi="ru-RU"/>
        </w:rPr>
        <w:t>2</w:t>
      </w:r>
      <w:r w:rsidR="00103A1A">
        <w:rPr>
          <w:rFonts w:eastAsia="Courier New"/>
          <w:sz w:val="28"/>
          <w:szCs w:val="28"/>
          <w:lang w:bidi="ru-RU"/>
        </w:rPr>
        <w:t>7</w:t>
      </w:r>
      <w:r w:rsidR="00E86873" w:rsidRPr="000B0D1B">
        <w:rPr>
          <w:rFonts w:eastAsia="Courier New"/>
          <w:sz w:val="28"/>
          <w:szCs w:val="28"/>
          <w:lang w:bidi="ru-RU"/>
        </w:rPr>
        <w:t>.0</w:t>
      </w:r>
      <w:r w:rsidR="00E26F95">
        <w:rPr>
          <w:rFonts w:eastAsia="Courier New"/>
          <w:sz w:val="28"/>
          <w:szCs w:val="28"/>
          <w:lang w:bidi="ru-RU"/>
        </w:rPr>
        <w:t>6</w:t>
      </w:r>
      <w:r w:rsidR="00E86873" w:rsidRPr="000B0D1B">
        <w:rPr>
          <w:rFonts w:eastAsia="Courier New"/>
          <w:sz w:val="28"/>
          <w:szCs w:val="28"/>
          <w:lang w:bidi="ru-RU"/>
        </w:rPr>
        <w:t>.</w:t>
      </w:r>
      <w:r w:rsidRPr="000B0D1B">
        <w:rPr>
          <w:rFonts w:eastAsia="Courier New"/>
          <w:sz w:val="28"/>
          <w:szCs w:val="28"/>
          <w:lang w:bidi="ru-RU"/>
        </w:rPr>
        <w:t>20</w:t>
      </w:r>
      <w:r w:rsidR="00E3190C" w:rsidRPr="000B0D1B">
        <w:rPr>
          <w:rFonts w:eastAsia="Courier New"/>
          <w:sz w:val="28"/>
          <w:szCs w:val="28"/>
          <w:lang w:bidi="ru-RU"/>
        </w:rPr>
        <w:t>2</w:t>
      </w:r>
      <w:r w:rsidR="0090209E" w:rsidRPr="000B0D1B">
        <w:rPr>
          <w:rFonts w:eastAsia="Courier New"/>
          <w:sz w:val="28"/>
          <w:szCs w:val="28"/>
          <w:lang w:bidi="ru-RU"/>
        </w:rPr>
        <w:t>3</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103A1A">
        <w:rPr>
          <w:rFonts w:eastAsia="Courier New"/>
          <w:sz w:val="28"/>
          <w:szCs w:val="28"/>
          <w:lang w:bidi="ru-RU"/>
        </w:rPr>
        <w:t>30</w:t>
      </w:r>
      <w:r w:rsidR="00E86873" w:rsidRPr="000B0D1B">
        <w:rPr>
          <w:rFonts w:eastAsia="Courier New"/>
          <w:sz w:val="28"/>
          <w:szCs w:val="28"/>
          <w:lang w:bidi="ru-RU"/>
        </w:rPr>
        <w:t>.0</w:t>
      </w:r>
      <w:r w:rsidR="00E26F95">
        <w:rPr>
          <w:rFonts w:eastAsia="Courier New"/>
          <w:sz w:val="28"/>
          <w:szCs w:val="28"/>
          <w:lang w:bidi="ru-RU"/>
        </w:rPr>
        <w:t>6</w:t>
      </w:r>
      <w:r w:rsidRPr="000B0D1B">
        <w:rPr>
          <w:rFonts w:eastAsia="Courier New"/>
          <w:sz w:val="28"/>
          <w:szCs w:val="28"/>
          <w:lang w:bidi="ru-RU"/>
        </w:rPr>
        <w:t>.20</w:t>
      </w:r>
      <w:r w:rsidR="00E3190C" w:rsidRPr="000B0D1B">
        <w:rPr>
          <w:rFonts w:eastAsia="Courier New"/>
          <w:sz w:val="28"/>
          <w:szCs w:val="28"/>
          <w:lang w:bidi="ru-RU"/>
        </w:rPr>
        <w:t>2</w:t>
      </w:r>
      <w:r w:rsidR="0090209E" w:rsidRPr="000B0D1B">
        <w:rPr>
          <w:rFonts w:eastAsia="Courier New"/>
          <w:sz w:val="28"/>
          <w:szCs w:val="28"/>
          <w:lang w:bidi="ru-RU"/>
        </w:rPr>
        <w:t>3</w:t>
      </w:r>
      <w:r w:rsidR="00216483" w:rsidRPr="000B0D1B">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E26F95" w:rsidRDefault="00E26F95" w:rsidP="00F456FD">
      <w:pPr>
        <w:widowControl w:val="0"/>
        <w:autoSpaceDE w:val="0"/>
        <w:autoSpaceDN w:val="0"/>
        <w:adjustRightInd w:val="0"/>
        <w:jc w:val="center"/>
        <w:rPr>
          <w:b/>
          <w:sz w:val="28"/>
          <w:szCs w:val="28"/>
        </w:rPr>
      </w:pPr>
    </w:p>
    <w:p w:rsidR="00E26F95" w:rsidRDefault="00E26F95"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lastRenderedPageBreak/>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w:t>
      </w:r>
      <w:r w:rsidR="000B0D1B">
        <w:rPr>
          <w:rFonts w:ascii="Times New Roman" w:eastAsiaTheme="majorEastAsia" w:hAnsi="Times New Roman" w:cs="Times New Roman"/>
          <w:bCs/>
          <w:sz w:val="28"/>
          <w:szCs w:val="28"/>
          <w:lang w:eastAsia="ru-RU" w:bidi="ru-RU"/>
        </w:rPr>
        <w:t xml:space="preserve">, </w:t>
      </w:r>
      <w:r w:rsidRPr="00495AE7">
        <w:rPr>
          <w:rFonts w:ascii="Times New Roman" w:eastAsiaTheme="majorEastAsia" w:hAnsi="Times New Roman" w:cs="Times New Roman"/>
          <w:bCs/>
          <w:sz w:val="28"/>
          <w:szCs w:val="28"/>
          <w:lang w:eastAsia="ru-RU" w:bidi="ru-RU"/>
        </w:rPr>
        <w:t>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07066E">
        <w:rPr>
          <w:rFonts w:ascii="Times New Roman" w:eastAsiaTheme="majorEastAsia" w:hAnsi="Times New Roman" w:cs="Times New Roman"/>
          <w:bCs/>
          <w:sz w:val="28"/>
          <w:szCs w:val="28"/>
          <w:lang w:eastAsia="ru-RU" w:bidi="ru-RU"/>
        </w:rPr>
        <w:t xml:space="preserve">c </w:t>
      </w:r>
      <w:r w:rsidR="00103A1A">
        <w:rPr>
          <w:rFonts w:ascii="Times New Roman" w:eastAsiaTheme="majorEastAsia" w:hAnsi="Times New Roman" w:cs="Times New Roman"/>
          <w:bCs/>
          <w:sz w:val="28"/>
          <w:szCs w:val="28"/>
          <w:lang w:eastAsia="ru-RU" w:bidi="ru-RU"/>
        </w:rPr>
        <w:t>30</w:t>
      </w:r>
      <w:r w:rsidR="001571AA" w:rsidRPr="0007066E">
        <w:rPr>
          <w:rFonts w:ascii="Times New Roman" w:eastAsiaTheme="majorEastAsia" w:hAnsi="Times New Roman" w:cs="Times New Roman"/>
          <w:bCs/>
          <w:sz w:val="28"/>
          <w:szCs w:val="28"/>
          <w:lang w:eastAsia="ru-RU" w:bidi="ru-RU"/>
        </w:rPr>
        <w:t>.0</w:t>
      </w:r>
      <w:r w:rsidR="00E26F95">
        <w:rPr>
          <w:rFonts w:ascii="Times New Roman" w:eastAsiaTheme="majorEastAsia" w:hAnsi="Times New Roman" w:cs="Times New Roman"/>
          <w:bCs/>
          <w:sz w:val="28"/>
          <w:szCs w:val="28"/>
          <w:lang w:eastAsia="ru-RU" w:bidi="ru-RU"/>
        </w:rPr>
        <w:t>5</w:t>
      </w:r>
      <w:r w:rsidR="003D084A" w:rsidRPr="0007066E">
        <w:rPr>
          <w:rFonts w:ascii="Times New Roman" w:eastAsiaTheme="majorEastAsia" w:hAnsi="Times New Roman" w:cs="Times New Roman"/>
          <w:bCs/>
          <w:sz w:val="28"/>
          <w:szCs w:val="28"/>
          <w:lang w:eastAsia="ru-RU" w:bidi="ru-RU"/>
        </w:rPr>
        <w:t>.20</w:t>
      </w:r>
      <w:r w:rsidR="00BB17FB" w:rsidRPr="0007066E">
        <w:rPr>
          <w:rFonts w:ascii="Times New Roman" w:eastAsiaTheme="majorEastAsia" w:hAnsi="Times New Roman" w:cs="Times New Roman"/>
          <w:bCs/>
          <w:sz w:val="28"/>
          <w:szCs w:val="28"/>
          <w:lang w:eastAsia="ru-RU" w:bidi="ru-RU"/>
        </w:rPr>
        <w:t>2</w:t>
      </w:r>
      <w:r w:rsidR="0090209E" w:rsidRPr="0007066E">
        <w:rPr>
          <w:rFonts w:ascii="Times New Roman" w:eastAsiaTheme="majorEastAsia" w:hAnsi="Times New Roman" w:cs="Times New Roman"/>
          <w:bCs/>
          <w:sz w:val="28"/>
          <w:szCs w:val="28"/>
          <w:lang w:eastAsia="ru-RU" w:bidi="ru-RU"/>
        </w:rPr>
        <w:t>3</w:t>
      </w:r>
      <w:r w:rsidR="00216483" w:rsidRPr="0007066E">
        <w:rPr>
          <w:rFonts w:ascii="Times New Roman" w:eastAsiaTheme="majorEastAsia" w:hAnsi="Times New Roman" w:cs="Times New Roman"/>
          <w:bCs/>
          <w:sz w:val="28"/>
          <w:szCs w:val="28"/>
          <w:lang w:eastAsia="ru-RU" w:bidi="ru-RU"/>
        </w:rPr>
        <w:t xml:space="preserve"> г. </w:t>
      </w:r>
      <w:r w:rsidR="003D084A" w:rsidRPr="0007066E">
        <w:rPr>
          <w:rFonts w:ascii="Times New Roman" w:eastAsiaTheme="majorEastAsia" w:hAnsi="Times New Roman" w:cs="Times New Roman"/>
          <w:bCs/>
          <w:sz w:val="28"/>
          <w:szCs w:val="28"/>
          <w:lang w:eastAsia="ru-RU" w:bidi="ru-RU"/>
        </w:rPr>
        <w:t xml:space="preserve">по </w:t>
      </w:r>
      <w:r w:rsidR="00CB5F40" w:rsidRPr="0007066E">
        <w:rPr>
          <w:rFonts w:ascii="Times New Roman" w:eastAsiaTheme="majorEastAsia" w:hAnsi="Times New Roman" w:cs="Times New Roman"/>
          <w:bCs/>
          <w:sz w:val="28"/>
          <w:szCs w:val="28"/>
          <w:lang w:eastAsia="ru-RU" w:bidi="ru-RU"/>
        </w:rPr>
        <w:t>2</w:t>
      </w:r>
      <w:r w:rsidR="00103A1A">
        <w:rPr>
          <w:rFonts w:ascii="Times New Roman" w:eastAsiaTheme="majorEastAsia" w:hAnsi="Times New Roman" w:cs="Times New Roman"/>
          <w:bCs/>
          <w:sz w:val="28"/>
          <w:szCs w:val="28"/>
          <w:lang w:eastAsia="ru-RU" w:bidi="ru-RU"/>
        </w:rPr>
        <w:t>6</w:t>
      </w:r>
      <w:r w:rsidR="001571AA" w:rsidRPr="0007066E">
        <w:rPr>
          <w:rFonts w:ascii="Times New Roman" w:eastAsiaTheme="majorEastAsia" w:hAnsi="Times New Roman" w:cs="Times New Roman"/>
          <w:bCs/>
          <w:sz w:val="28"/>
          <w:szCs w:val="28"/>
          <w:lang w:eastAsia="ru-RU" w:bidi="ru-RU"/>
        </w:rPr>
        <w:t>.0</w:t>
      </w:r>
      <w:r w:rsidR="00E26F95">
        <w:rPr>
          <w:rFonts w:ascii="Times New Roman" w:eastAsiaTheme="majorEastAsia" w:hAnsi="Times New Roman" w:cs="Times New Roman"/>
          <w:bCs/>
          <w:sz w:val="28"/>
          <w:szCs w:val="28"/>
          <w:lang w:eastAsia="ru-RU" w:bidi="ru-RU"/>
        </w:rPr>
        <w:t>6</w:t>
      </w:r>
      <w:r w:rsidR="003D084A" w:rsidRPr="0007066E">
        <w:rPr>
          <w:rFonts w:ascii="Times New Roman" w:eastAsiaTheme="majorEastAsia" w:hAnsi="Times New Roman" w:cs="Times New Roman"/>
          <w:bCs/>
          <w:sz w:val="28"/>
          <w:szCs w:val="28"/>
          <w:lang w:eastAsia="ru-RU" w:bidi="ru-RU"/>
        </w:rPr>
        <w:t>.20</w:t>
      </w:r>
      <w:r w:rsidR="00E3190C" w:rsidRPr="0007066E">
        <w:rPr>
          <w:rFonts w:ascii="Times New Roman" w:eastAsiaTheme="majorEastAsia" w:hAnsi="Times New Roman" w:cs="Times New Roman"/>
          <w:bCs/>
          <w:sz w:val="28"/>
          <w:szCs w:val="28"/>
          <w:lang w:eastAsia="ru-RU" w:bidi="ru-RU"/>
        </w:rPr>
        <w:t>2</w:t>
      </w:r>
      <w:r w:rsidR="0090209E" w:rsidRPr="0007066E">
        <w:rPr>
          <w:rFonts w:ascii="Times New Roman" w:eastAsiaTheme="majorEastAsia" w:hAnsi="Times New Roman" w:cs="Times New Roman"/>
          <w:bCs/>
          <w:sz w:val="28"/>
          <w:szCs w:val="28"/>
          <w:lang w:eastAsia="ru-RU" w:bidi="ru-RU"/>
        </w:rPr>
        <w:t>3</w:t>
      </w:r>
      <w:r w:rsidR="00216483" w:rsidRPr="0007066E">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xml:space="preserve">, до подачи заявки на участие в аукционе (далее – заявка), осуществляют перечисление суммы задатка на участие в аукционе на банковские </w:t>
      </w:r>
      <w:r w:rsidR="003223DB" w:rsidRPr="001D4E30">
        <w:rPr>
          <w:bCs/>
          <w:sz w:val="28"/>
          <w:szCs w:val="28"/>
          <w:lang w:bidi="ru-RU"/>
        </w:rPr>
        <w:lastRenderedPageBreak/>
        <w:t>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103A1A">
        <w:rPr>
          <w:bCs/>
          <w:snapToGrid w:val="0"/>
          <w:sz w:val="28"/>
          <w:szCs w:val="28"/>
          <w:lang w:bidi="ru-RU"/>
        </w:rPr>
        <w:t>30</w:t>
      </w:r>
      <w:r w:rsidR="00B12D43" w:rsidRPr="000B0D1B">
        <w:rPr>
          <w:rFonts w:eastAsiaTheme="majorEastAsia"/>
          <w:bCs/>
          <w:sz w:val="28"/>
          <w:szCs w:val="28"/>
          <w:lang w:bidi="ru-RU"/>
        </w:rPr>
        <w:t>.0</w:t>
      </w:r>
      <w:r w:rsidR="00E26F95">
        <w:rPr>
          <w:rFonts w:eastAsiaTheme="majorEastAsia"/>
          <w:bCs/>
          <w:sz w:val="28"/>
          <w:szCs w:val="28"/>
          <w:lang w:bidi="ru-RU"/>
        </w:rPr>
        <w:t>5</w:t>
      </w:r>
      <w:r w:rsidR="00B12D43" w:rsidRPr="000B0D1B">
        <w:rPr>
          <w:rFonts w:eastAsiaTheme="majorEastAsia"/>
          <w:bCs/>
          <w:sz w:val="28"/>
          <w:szCs w:val="28"/>
          <w:lang w:bidi="ru-RU"/>
        </w:rPr>
        <w:t>.202</w:t>
      </w:r>
      <w:r w:rsidR="0090209E" w:rsidRPr="000B0D1B">
        <w:rPr>
          <w:rFonts w:eastAsiaTheme="majorEastAsia"/>
          <w:bCs/>
          <w:sz w:val="28"/>
          <w:szCs w:val="28"/>
          <w:lang w:bidi="ru-RU"/>
        </w:rPr>
        <w:t>3</w:t>
      </w:r>
      <w:r w:rsidR="00B12D43" w:rsidRPr="000B0D1B">
        <w:rPr>
          <w:rFonts w:eastAsiaTheme="majorEastAsia"/>
          <w:bCs/>
          <w:sz w:val="28"/>
          <w:szCs w:val="28"/>
          <w:lang w:bidi="ru-RU"/>
        </w:rPr>
        <w:t xml:space="preserve"> г. по </w:t>
      </w:r>
      <w:r w:rsidR="00CB5F40" w:rsidRPr="000B0D1B">
        <w:rPr>
          <w:rFonts w:eastAsiaTheme="majorEastAsia"/>
          <w:bCs/>
          <w:sz w:val="28"/>
          <w:szCs w:val="28"/>
          <w:lang w:bidi="ru-RU"/>
        </w:rPr>
        <w:t>2</w:t>
      </w:r>
      <w:r w:rsidR="00103A1A">
        <w:rPr>
          <w:rFonts w:eastAsiaTheme="majorEastAsia"/>
          <w:bCs/>
          <w:sz w:val="28"/>
          <w:szCs w:val="28"/>
          <w:lang w:bidi="ru-RU"/>
        </w:rPr>
        <w:t>6</w:t>
      </w:r>
      <w:r w:rsidR="00B12D43" w:rsidRPr="000B0D1B">
        <w:rPr>
          <w:rFonts w:eastAsiaTheme="majorEastAsia"/>
          <w:bCs/>
          <w:sz w:val="28"/>
          <w:szCs w:val="28"/>
          <w:lang w:bidi="ru-RU"/>
        </w:rPr>
        <w:t>.0</w:t>
      </w:r>
      <w:r w:rsidR="00E26F95">
        <w:rPr>
          <w:rFonts w:eastAsiaTheme="majorEastAsia"/>
          <w:bCs/>
          <w:sz w:val="28"/>
          <w:szCs w:val="28"/>
          <w:lang w:bidi="ru-RU"/>
        </w:rPr>
        <w:t>6</w:t>
      </w:r>
      <w:r w:rsidR="00B12D43" w:rsidRPr="000B0D1B">
        <w:rPr>
          <w:rFonts w:eastAsiaTheme="majorEastAsia"/>
          <w:bCs/>
          <w:sz w:val="28"/>
          <w:szCs w:val="28"/>
          <w:lang w:bidi="ru-RU"/>
        </w:rPr>
        <w:t>.202</w:t>
      </w:r>
      <w:r w:rsidR="0090209E" w:rsidRPr="000B0D1B">
        <w:rPr>
          <w:rFonts w:eastAsiaTheme="majorEastAsia"/>
          <w:bCs/>
          <w:sz w:val="28"/>
          <w:szCs w:val="28"/>
          <w:lang w:bidi="ru-RU"/>
        </w:rPr>
        <w:t>3</w:t>
      </w:r>
      <w:r w:rsidR="00B12D43" w:rsidRPr="000B0D1B">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lastRenderedPageBreak/>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w:t>
      </w:r>
      <w:r w:rsidRPr="001D4E30">
        <w:rPr>
          <w:rFonts w:eastAsia="Courier New"/>
          <w:sz w:val="28"/>
          <w:szCs w:val="28"/>
          <w:lang w:bidi="ru-RU"/>
        </w:rPr>
        <w:lastRenderedPageBreak/>
        <w:t xml:space="preserve">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lastRenderedPageBreak/>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C07CEF" w:rsidRPr="00E26F95" w:rsidRDefault="00016EF8" w:rsidP="00E26F95">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lastRenderedPageBreak/>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lastRenderedPageBreak/>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CB5A4B">
        <w:rPr>
          <w:sz w:val="28"/>
          <w:szCs w:val="28"/>
        </w:rPr>
        <w:t>1</w:t>
      </w:r>
      <w:r w:rsidR="00E26F95">
        <w:rPr>
          <w:sz w:val="28"/>
          <w:szCs w:val="28"/>
        </w:rPr>
        <w:t>7</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066E"/>
    <w:rsid w:val="0007319C"/>
    <w:rsid w:val="0007474C"/>
    <w:rsid w:val="000820CD"/>
    <w:rsid w:val="00086C4D"/>
    <w:rsid w:val="000878F6"/>
    <w:rsid w:val="0009305A"/>
    <w:rsid w:val="00097E4A"/>
    <w:rsid w:val="000A34E2"/>
    <w:rsid w:val="000A7EA3"/>
    <w:rsid w:val="000B0D1B"/>
    <w:rsid w:val="000C05AB"/>
    <w:rsid w:val="000D2EB2"/>
    <w:rsid w:val="000D33C0"/>
    <w:rsid w:val="000D3629"/>
    <w:rsid w:val="000D3993"/>
    <w:rsid w:val="000D5081"/>
    <w:rsid w:val="000D71A7"/>
    <w:rsid w:val="000E11FC"/>
    <w:rsid w:val="000E2EEF"/>
    <w:rsid w:val="000F3F5E"/>
    <w:rsid w:val="00103561"/>
    <w:rsid w:val="00103A1A"/>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320B"/>
    <w:rsid w:val="001B6370"/>
    <w:rsid w:val="001B70C8"/>
    <w:rsid w:val="001C1E30"/>
    <w:rsid w:val="001C4118"/>
    <w:rsid w:val="001D0499"/>
    <w:rsid w:val="001D4E2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10B7"/>
    <w:rsid w:val="002E3C10"/>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67BD"/>
    <w:rsid w:val="003A763B"/>
    <w:rsid w:val="003C5802"/>
    <w:rsid w:val="003C70AA"/>
    <w:rsid w:val="003D084A"/>
    <w:rsid w:val="003D4367"/>
    <w:rsid w:val="003E0E65"/>
    <w:rsid w:val="003E1271"/>
    <w:rsid w:val="003E1586"/>
    <w:rsid w:val="003E1B0B"/>
    <w:rsid w:val="003E1CEF"/>
    <w:rsid w:val="003E2211"/>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19F7"/>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4FA4"/>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D43"/>
    <w:rsid w:val="00B169FA"/>
    <w:rsid w:val="00B16A6A"/>
    <w:rsid w:val="00B22CC3"/>
    <w:rsid w:val="00B3238D"/>
    <w:rsid w:val="00B36E1B"/>
    <w:rsid w:val="00B477D9"/>
    <w:rsid w:val="00B509C3"/>
    <w:rsid w:val="00B54724"/>
    <w:rsid w:val="00B60622"/>
    <w:rsid w:val="00B75A9D"/>
    <w:rsid w:val="00B77F98"/>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4B27"/>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95F8C"/>
    <w:rsid w:val="00CB196C"/>
    <w:rsid w:val="00CB5081"/>
    <w:rsid w:val="00CB5A4B"/>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00E7"/>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26F95"/>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3240"/>
    <w:rsid w:val="00F05FE8"/>
    <w:rsid w:val="00F11715"/>
    <w:rsid w:val="00F12780"/>
    <w:rsid w:val="00F1469F"/>
    <w:rsid w:val="00F151E6"/>
    <w:rsid w:val="00F24AD9"/>
    <w:rsid w:val="00F25B1F"/>
    <w:rsid w:val="00F25ECC"/>
    <w:rsid w:val="00F31DD2"/>
    <w:rsid w:val="00F36554"/>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178B-3C47-4DC5-92AD-F409BB95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34</Pages>
  <Words>9063</Words>
  <Characters>51663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93</cp:revision>
  <cp:lastPrinted>2023-05-26T07:16:00Z</cp:lastPrinted>
  <dcterms:created xsi:type="dcterms:W3CDTF">2019-09-05T06:39:00Z</dcterms:created>
  <dcterms:modified xsi:type="dcterms:W3CDTF">2023-05-26T07:24:00Z</dcterms:modified>
</cp:coreProperties>
</file>