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AE" w:rsidRDefault="005A13ED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710" cy="239839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AE" w:rsidRDefault="00D81A25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  <w:r w:rsidRPr="008E7D15">
        <w:pict>
          <v:rect id="_x0000_s1026" style="position:absolute;left:0;text-align:left;margin-left:81pt;margin-top:260.25pt;width:207.5pt;height:133.45pt;z-index:251657728;mso-wrap-distance-left:9pt;mso-wrap-distance-top:0;mso-wrap-distance-right:9pt;mso-wrap-distance-bottom:0;mso-position-horizontal-relative:page;mso-position-vertical-relative:page" stroked="f" strokeweight="0">
            <v:textbox style="mso-next-textbox:#_x0000_s1026">
              <w:txbxContent>
                <w:p w:rsidR="00D61AAE" w:rsidRDefault="005A13ED">
                  <w:pPr>
                    <w:pStyle w:val="ad"/>
                    <w:jc w:val="both"/>
                  </w:pPr>
                  <w:bookmarkStart w:id="0" w:name="_GoBack"/>
                  <w:r>
                    <w:rPr>
                      <w:color w:val="000000"/>
                    </w:rPr>
                    <w:t>О внесении изменений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25.03.2019 № 636</w:t>
                  </w:r>
                  <w:bookmarkEnd w:id="0"/>
                </w:p>
              </w:txbxContent>
            </v:textbox>
            <w10:wrap type="square" anchorx="page" anchory="page"/>
          </v:rect>
        </w:pict>
      </w:r>
    </w:p>
    <w:p w:rsidR="00D61AAE" w:rsidRDefault="00D61AAE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D61AAE" w:rsidRDefault="00D61AAE">
      <w:pPr>
        <w:tabs>
          <w:tab w:val="left" w:pos="0"/>
        </w:tabs>
        <w:spacing w:before="480"/>
        <w:jc w:val="both"/>
        <w:rPr>
          <w:sz w:val="28"/>
          <w:szCs w:val="28"/>
        </w:rPr>
      </w:pPr>
    </w:p>
    <w:p w:rsidR="00D61AAE" w:rsidRDefault="00D61AAE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1A25" w:rsidRDefault="00D81A2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AAE" w:rsidRDefault="005A13ED">
      <w:pPr>
        <w:pStyle w:val="af4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в соответствии с решением Чайковской городской Думы от 19 декабря 2018 г. № 96 «Об оплате труда работников муниципальных учреждений Чайковского городского округа», решением Думы Чайковского городского округа от 24 августа 2022 г. № 637 «О внесении изменений в решение Думы Чайковского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9 декабря 2021 г. № 574 «О бюджете Чайковского городского округа на 2022 год и на плановый период 2023 и 2024 годов», в целях урегулирования оплаты труда в муниципальном казенном учреждении «Центр бухгалтерского учета»,</w:t>
      </w:r>
    </w:p>
    <w:p w:rsidR="00D61AAE" w:rsidRDefault="005A13ED">
      <w:pPr>
        <w:pStyle w:val="af4"/>
        <w:ind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61AAE" w:rsidRDefault="005A13ED">
      <w:pPr>
        <w:pStyle w:val="af4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 марта 2019 г. № 636 (в редакции постановлений администрации Чайковского городского округа от 5 февраля 2020 г. № 80, от 10 января 2022 г. № 9, от 25 октября 2022 г. № 1154), следующие изменения:</w:t>
      </w:r>
      <w:proofErr w:type="gramEnd"/>
    </w:p>
    <w:p w:rsidR="00D61AAE" w:rsidRDefault="005A13ED">
      <w:pPr>
        <w:ind w:firstLine="851"/>
        <w:jc w:val="both"/>
      </w:pPr>
      <w:r>
        <w:rPr>
          <w:sz w:val="28"/>
          <w:szCs w:val="28"/>
        </w:rPr>
        <w:t>1.1. в пункте 2.</w:t>
      </w:r>
      <w:r>
        <w:rPr>
          <w:rFonts w:eastAsiaTheme="minorHAnsi"/>
          <w:sz w:val="28"/>
          <w:szCs w:val="28"/>
          <w:lang w:eastAsia="en-US"/>
        </w:rPr>
        <w:t>4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0"/>
        <w:gridCol w:w="5153"/>
        <w:gridCol w:w="3137"/>
      </w:tblGrid>
      <w:tr w:rsidR="00D61AAE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Персональный повышающий коэффициент (диапазон)</w:t>
            </w:r>
          </w:p>
        </w:tc>
      </w:tr>
      <w:tr w:rsidR="00D61AAE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D61AAE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— 1,8</w:t>
            </w:r>
          </w:p>
        </w:tc>
      </w:tr>
      <w:tr w:rsidR="00D61AAE">
        <w:tc>
          <w:tcPr>
            <w:tcW w:w="10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 — 1,8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 — 1,5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1,5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1,3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кадровому делопроизводству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D61AAE">
        <w:tc>
          <w:tcPr>
            <w:tcW w:w="10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D61AAE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1,3</w:t>
            </w:r>
          </w:p>
        </w:tc>
      </w:tr>
      <w:tr w:rsidR="00D61AAE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1AAE" w:rsidRDefault="005A13ED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1,2</w:t>
            </w:r>
          </w:p>
        </w:tc>
      </w:tr>
    </w:tbl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1.2. пункт 3.1.3. изложить в следующей редакции: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«3.1.3 стимулирующие выплаты: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персональный повышающий коэффициент по занимаемой должности к окладу (должностному окладу);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выплата за выслугу лет;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единовременная выплата к оплачиваемому отпуску; 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премиальная выплата по итогам работы за месяц;</w:t>
      </w:r>
    </w:p>
    <w:p w:rsidR="00D61AAE" w:rsidRDefault="005A13ED">
      <w:pPr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премиальные выплаты за счет сложившийся экономии фонда оплаты труда по итогам работы за отчетные периоды (месяц, квартал, полугодие, 9 месяцев, год)</w:t>
      </w:r>
      <w:proofErr w:type="gramStart"/>
      <w:r>
        <w:rPr>
          <w:rStyle w:val="a7"/>
          <w:sz w:val="28"/>
          <w:szCs w:val="28"/>
        </w:rPr>
        <w:t>.»</w:t>
      </w:r>
      <w:proofErr w:type="gramEnd"/>
      <w:r>
        <w:rPr>
          <w:rStyle w:val="a7"/>
          <w:sz w:val="28"/>
          <w:szCs w:val="28"/>
        </w:rPr>
        <w:t>;</w:t>
      </w:r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 xml:space="preserve">1.3. пункт 3.9 </w:t>
      </w:r>
      <w:bookmarkStart w:id="1" w:name="__DdeLink__18943_311244131"/>
      <w:r>
        <w:rPr>
          <w:rStyle w:val="a7"/>
          <w:sz w:val="28"/>
          <w:szCs w:val="28"/>
        </w:rPr>
        <w:t>изложить в следующей редакции:</w:t>
      </w:r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>«3.9. Директору учреждения приказом учредителя устанавливаются стимулирующие выплаты: премиальная выплата по итогам работы за месяц; выплата за выслугу лет, единовременная выплата к оплачиваемому отпуску, премиальные выплаты за счет сложившийся экономии фонда оплаты труда по итогам работы за отчетные периоды (квартал, полугодие, 9 месяцев, год) в порядке, установленном разделом 5 настоящего Положения</w:t>
      </w:r>
      <w:proofErr w:type="gramStart"/>
      <w:r>
        <w:rPr>
          <w:rStyle w:val="a7"/>
          <w:sz w:val="28"/>
          <w:szCs w:val="28"/>
        </w:rPr>
        <w:t>.»;</w:t>
      </w:r>
      <w:proofErr w:type="gramEnd"/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>1.4. пункт 3.11 изложить в следующей редакции:</w:t>
      </w:r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 xml:space="preserve">«3.11.  </w:t>
      </w:r>
      <w:r>
        <w:rPr>
          <w:rStyle w:val="a7"/>
          <w:rFonts w:eastAsiaTheme="minorHAnsi"/>
          <w:sz w:val="28"/>
          <w:szCs w:val="28"/>
        </w:rPr>
        <w:t xml:space="preserve">Все выплаты стимулирующего и компенсационного характера руководителю учреждения устанавливаются </w:t>
      </w:r>
      <w:r>
        <w:rPr>
          <w:rStyle w:val="a7"/>
          <w:sz w:val="28"/>
          <w:szCs w:val="28"/>
        </w:rPr>
        <w:t>приказо</w:t>
      </w:r>
      <w:r>
        <w:rPr>
          <w:rStyle w:val="a7"/>
          <w:rFonts w:eastAsiaTheme="minorHAnsi"/>
          <w:sz w:val="28"/>
          <w:szCs w:val="28"/>
        </w:rPr>
        <w:t>м</w:t>
      </w:r>
      <w:r>
        <w:rPr>
          <w:rStyle w:val="a7"/>
          <w:sz w:val="28"/>
          <w:szCs w:val="28"/>
        </w:rPr>
        <w:t xml:space="preserve"> учредителя.</w:t>
      </w:r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>Выплата вышеуказанных доплат осуществляется в пределах фонда оплаты труда</w:t>
      </w:r>
      <w:proofErr w:type="gramStart"/>
      <w:r>
        <w:rPr>
          <w:rStyle w:val="a7"/>
          <w:sz w:val="28"/>
          <w:szCs w:val="28"/>
        </w:rPr>
        <w:t>.»</w:t>
      </w:r>
      <w:bookmarkEnd w:id="1"/>
      <w:r>
        <w:rPr>
          <w:rStyle w:val="a7"/>
          <w:sz w:val="28"/>
          <w:szCs w:val="28"/>
        </w:rPr>
        <w:t>.</w:t>
      </w:r>
      <w:proofErr w:type="gramEnd"/>
    </w:p>
    <w:p w:rsidR="00D61AAE" w:rsidRDefault="005A13ED">
      <w:pPr>
        <w:ind w:firstLine="851"/>
        <w:jc w:val="both"/>
      </w:pPr>
      <w:r>
        <w:rPr>
          <w:rStyle w:val="a7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61AAE" w:rsidRDefault="005A13ED">
      <w:pPr>
        <w:ind w:firstLine="851"/>
        <w:jc w:val="both"/>
        <w:outlineLvl w:val="0"/>
      </w:pPr>
      <w:r>
        <w:rPr>
          <w:bCs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 августа 2022 г.</w:t>
      </w:r>
    </w:p>
    <w:p w:rsidR="00D61AAE" w:rsidRDefault="00D61A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1AAE" w:rsidRDefault="005A13ED">
      <w:pPr>
        <w:spacing w:line="240" w:lineRule="exact"/>
        <w:contextualSpacing/>
        <w:jc w:val="both"/>
      </w:pPr>
      <w:r>
        <w:rPr>
          <w:sz w:val="28"/>
          <w:szCs w:val="28"/>
        </w:rPr>
        <w:t xml:space="preserve">Глава городского округа – </w:t>
      </w:r>
    </w:p>
    <w:p w:rsidR="00D61AAE" w:rsidRDefault="005A13ED">
      <w:pPr>
        <w:tabs>
          <w:tab w:val="left" w:pos="7513"/>
        </w:tabs>
        <w:spacing w:line="240" w:lineRule="exact"/>
        <w:contextualSpacing/>
        <w:jc w:val="both"/>
      </w:pPr>
      <w:r>
        <w:rPr>
          <w:sz w:val="28"/>
          <w:szCs w:val="28"/>
        </w:rPr>
        <w:t>глава администрации</w:t>
      </w:r>
    </w:p>
    <w:p w:rsidR="00D61AAE" w:rsidRDefault="005A13ED">
      <w:pPr>
        <w:tabs>
          <w:tab w:val="left" w:pos="7371"/>
        </w:tabs>
        <w:spacing w:line="240" w:lineRule="exact"/>
        <w:contextualSpacing/>
        <w:jc w:val="both"/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>Ю.Г. Востриков</w:t>
      </w:r>
    </w:p>
    <w:sectPr w:rsidR="00D61AAE" w:rsidSect="00B370FD">
      <w:headerReference w:type="default" r:id="rId8"/>
      <w:footerReference w:type="default" r:id="rId9"/>
      <w:pgSz w:w="11906" w:h="16838"/>
      <w:pgMar w:top="567" w:right="567" w:bottom="567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AE" w:rsidRDefault="00D61AAE" w:rsidP="00D61AAE">
      <w:r>
        <w:separator/>
      </w:r>
    </w:p>
  </w:endnote>
  <w:endnote w:type="continuationSeparator" w:id="0">
    <w:p w:rsidR="00D61AAE" w:rsidRDefault="00D61AAE" w:rsidP="00D6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AE" w:rsidRDefault="005A13ED">
    <w:pPr>
      <w:pStyle w:val="Footer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AE" w:rsidRDefault="00D61AAE" w:rsidP="00D61AAE">
      <w:r>
        <w:separator/>
      </w:r>
    </w:p>
  </w:footnote>
  <w:footnote w:type="continuationSeparator" w:id="0">
    <w:p w:rsidR="00D61AAE" w:rsidRDefault="00D61AAE" w:rsidP="00D6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D" w:rsidRDefault="00B370FD" w:rsidP="00B370FD">
    <w:pPr>
      <w:jc w:val="center"/>
      <w:rPr>
        <w:color w:val="000000"/>
      </w:rPr>
    </w:pPr>
  </w:p>
  <w:p w:rsidR="00B370FD" w:rsidRPr="00B370FD" w:rsidRDefault="00B370FD" w:rsidP="00B370FD">
    <w:pPr>
      <w:jc w:val="center"/>
      <w:rPr>
        <w:color w:val="000000"/>
      </w:rPr>
    </w:pPr>
    <w:r w:rsidRPr="00B370FD">
      <w:rPr>
        <w:color w:val="000000"/>
      </w:rPr>
      <w:t>Проект размещен на сайте 02.11.202 г. Срок  приема заключений независимых экспертов до 11.11.2022 г. на электронный адрес mnpa@tchaik.ru</w:t>
    </w:r>
  </w:p>
  <w:p w:rsidR="00B370FD" w:rsidRDefault="00B370FD" w:rsidP="00B370FD">
    <w:pPr>
      <w:pStyle w:val="af7"/>
      <w:jc w:val="center"/>
    </w:pPr>
  </w:p>
  <w:p w:rsidR="00B370FD" w:rsidRDefault="00B370FD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1AAE"/>
    <w:rsid w:val="000213DE"/>
    <w:rsid w:val="005A13ED"/>
    <w:rsid w:val="005D6142"/>
    <w:rsid w:val="008E7D15"/>
    <w:rsid w:val="00B370FD"/>
    <w:rsid w:val="00D61AAE"/>
    <w:rsid w:val="00D8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24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Текст"/>
    <w:qFormat/>
    <w:rsid w:val="006E3394"/>
  </w:style>
  <w:style w:type="paragraph" w:customStyle="1" w:styleId="a8">
    <w:name w:val="Заголовок"/>
    <w:basedOn w:val="a"/>
    <w:next w:val="a9"/>
    <w:qFormat/>
    <w:rsid w:val="006E33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524C6A"/>
    <w:pPr>
      <w:spacing w:after="120"/>
    </w:pPr>
  </w:style>
  <w:style w:type="paragraph" w:styleId="aa">
    <w:name w:val="List"/>
    <w:basedOn w:val="a9"/>
    <w:rsid w:val="006E3394"/>
    <w:rPr>
      <w:rFonts w:cs="Arial"/>
    </w:rPr>
  </w:style>
  <w:style w:type="paragraph" w:customStyle="1" w:styleId="Caption">
    <w:name w:val="Caption"/>
    <w:basedOn w:val="a"/>
    <w:qFormat/>
    <w:rsid w:val="006E339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6E3394"/>
    <w:pPr>
      <w:suppressLineNumbers/>
    </w:pPr>
    <w:rPr>
      <w:rFonts w:cs="Arial"/>
    </w:rPr>
  </w:style>
  <w:style w:type="paragraph" w:styleId="ac">
    <w:name w:val="caption"/>
    <w:basedOn w:val="a"/>
    <w:qFormat/>
    <w:rsid w:val="006E3394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Заголовок к тексту"/>
    <w:basedOn w:val="a"/>
    <w:next w:val="a9"/>
    <w:qFormat/>
    <w:rsid w:val="00524C6A"/>
    <w:pPr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qFormat/>
    <w:rsid w:val="00524C6A"/>
    <w:pPr>
      <w:suppressAutoHyphens/>
      <w:ind w:firstLine="720"/>
    </w:pPr>
    <w:rPr>
      <w:rFonts w:ascii="Arial" w:hAnsi="Arial" w:cs="Arial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524C6A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24C6A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6E3394"/>
  </w:style>
  <w:style w:type="paragraph" w:customStyle="1" w:styleId="af1">
    <w:name w:val="Верхний и нижний колонтитулы"/>
    <w:basedOn w:val="a"/>
    <w:qFormat/>
    <w:rsid w:val="006E3394"/>
  </w:style>
  <w:style w:type="paragraph" w:customStyle="1" w:styleId="Header">
    <w:name w:val="Head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6E3394"/>
  </w:style>
  <w:style w:type="paragraph" w:styleId="af3">
    <w:name w:val="Plain Text"/>
    <w:basedOn w:val="ac"/>
    <w:qFormat/>
    <w:rsid w:val="006E3394"/>
  </w:style>
  <w:style w:type="paragraph" w:styleId="af4">
    <w:name w:val="No Spacing"/>
    <w:qFormat/>
    <w:rsid w:val="006E3394"/>
    <w:pPr>
      <w:suppressAutoHyphens/>
    </w:pPr>
    <w:rPr>
      <w:sz w:val="22"/>
    </w:rPr>
  </w:style>
  <w:style w:type="paragraph" w:customStyle="1" w:styleId="af5">
    <w:name w:val="Содержимое таблицы"/>
    <w:basedOn w:val="a"/>
    <w:qFormat/>
    <w:rsid w:val="006E3394"/>
    <w:pPr>
      <w:suppressLineNumbers/>
    </w:pPr>
  </w:style>
  <w:style w:type="paragraph" w:customStyle="1" w:styleId="af6">
    <w:name w:val="Заголовок таблицы"/>
    <w:basedOn w:val="af5"/>
    <w:qFormat/>
    <w:rsid w:val="006E3394"/>
    <w:pPr>
      <w:jc w:val="center"/>
    </w:pPr>
    <w:rPr>
      <w:b/>
      <w:bCs/>
    </w:rPr>
  </w:style>
  <w:style w:type="paragraph" w:styleId="af7">
    <w:name w:val="header"/>
    <w:basedOn w:val="a"/>
    <w:link w:val="1"/>
    <w:uiPriority w:val="99"/>
    <w:unhideWhenUsed/>
    <w:rsid w:val="00B370F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7"/>
    <w:uiPriority w:val="99"/>
    <w:semiHidden/>
    <w:rsid w:val="00B37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0"/>
    <w:uiPriority w:val="99"/>
    <w:semiHidden/>
    <w:unhideWhenUsed/>
    <w:rsid w:val="00B370FD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8"/>
    <w:uiPriority w:val="99"/>
    <w:semiHidden/>
    <w:rsid w:val="00B37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CFE1-C922-4D7E-B875-676001D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2022-08-23T03:58:00Z</cp:lastPrinted>
  <dcterms:created xsi:type="dcterms:W3CDTF">2022-11-02T09:50:00Z</dcterms:created>
  <dcterms:modified xsi:type="dcterms:W3CDTF">2022-11-02T09:50:00Z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