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3105150</wp:posOffset>
                </wp:positionV>
                <wp:extent cx="2705100" cy="1047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3F3946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691D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равила землепользования и застройки</w:t>
                            </w:r>
                          </w:p>
                          <w:p w:rsidR="006F1075" w:rsidRDefault="00ED2691" w:rsidP="003F3946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Уральского</w:t>
                            </w:r>
                            <w:r w:rsidR="00EF2968"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5pt;width:21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4o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" filled="f" stroked="f">
                <v:textbox inset="0,0,0,0">
                  <w:txbxContent>
                    <w:p w:rsidR="006F1075" w:rsidRPr="00D22265" w:rsidRDefault="006F1075" w:rsidP="003F3946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691D33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равила землепользования и застройки</w:t>
                      </w:r>
                    </w:p>
                    <w:p w:rsidR="006F1075" w:rsidRDefault="00ED2691" w:rsidP="003F3946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Уральского</w:t>
                      </w:r>
                      <w:r w:rsidR="00EF2968"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>постановления администрации Чайковского городского округа от 28 августа 2020 г. № 79</w:t>
      </w:r>
      <w:r w:rsidR="00ED2691">
        <w:rPr>
          <w:sz w:val="28"/>
          <w:szCs w:val="28"/>
          <w:lang w:eastAsia="x-none"/>
        </w:rPr>
        <w:t>8</w:t>
      </w:r>
      <w:r w:rsidR="006323D9" w:rsidRPr="00483329">
        <w:rPr>
          <w:sz w:val="28"/>
          <w:szCs w:val="28"/>
          <w:lang w:eastAsia="x-none"/>
        </w:rPr>
        <w:t xml:space="preserve"> «О подготовке проекта изменений в правила землепользования и застройки </w:t>
      </w:r>
      <w:r w:rsidR="00ED2691">
        <w:rPr>
          <w:sz w:val="28"/>
          <w:szCs w:val="28"/>
          <w:lang w:eastAsia="x-none"/>
        </w:rPr>
        <w:t>Уральского</w:t>
      </w:r>
      <w:r w:rsidR="006323D9" w:rsidRPr="00483329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23 сентября 2020 г. № 87</w:t>
      </w:r>
      <w:r w:rsidR="00ED2691">
        <w:rPr>
          <w:sz w:val="28"/>
          <w:szCs w:val="28"/>
          <w:lang w:eastAsia="x-none"/>
        </w:rPr>
        <w:t>2</w:t>
      </w:r>
      <w:r w:rsidR="006323D9" w:rsidRPr="00483329">
        <w:rPr>
          <w:sz w:val="28"/>
          <w:szCs w:val="28"/>
          <w:lang w:eastAsia="x-none"/>
        </w:rPr>
        <w:t xml:space="preserve"> «О проведении публичных слушаний»,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481C9C" w:rsidRPr="00A8569C">
        <w:rPr>
          <w:bCs/>
          <w:sz w:val="28"/>
          <w:szCs w:val="28"/>
        </w:rPr>
        <w:t>23 ноября</w:t>
      </w:r>
      <w:r w:rsidR="00AD343D" w:rsidRPr="00A8569C">
        <w:rPr>
          <w:bCs/>
          <w:sz w:val="28"/>
          <w:szCs w:val="28"/>
        </w:rPr>
        <w:t xml:space="preserve"> 20</w:t>
      </w:r>
      <w:r w:rsidR="00905AA4" w:rsidRPr="00A8569C">
        <w:rPr>
          <w:bCs/>
          <w:sz w:val="28"/>
          <w:szCs w:val="28"/>
        </w:rPr>
        <w:t>20</w:t>
      </w:r>
      <w:r w:rsidR="00AD343D" w:rsidRPr="00A8569C">
        <w:rPr>
          <w:bCs/>
          <w:sz w:val="28"/>
          <w:szCs w:val="28"/>
        </w:rPr>
        <w:t xml:space="preserve"> г. № </w:t>
      </w:r>
      <w:r w:rsidR="00A8569C" w:rsidRPr="00A8569C">
        <w:rPr>
          <w:bCs/>
          <w:sz w:val="28"/>
          <w:szCs w:val="28"/>
        </w:rPr>
        <w:t>111</w:t>
      </w:r>
      <w:r w:rsidR="00ED2691">
        <w:rPr>
          <w:bCs/>
          <w:sz w:val="28"/>
          <w:szCs w:val="28"/>
        </w:rPr>
        <w:t>3</w:t>
      </w:r>
      <w:r w:rsidR="00AD343D" w:rsidRPr="00A8569C">
        <w:rPr>
          <w:bCs/>
          <w:sz w:val="28"/>
          <w:szCs w:val="28"/>
        </w:rPr>
        <w:t xml:space="preserve"> </w:t>
      </w:r>
      <w:r w:rsidR="00AD343D" w:rsidRPr="00096093">
        <w:rPr>
          <w:bCs/>
          <w:sz w:val="28"/>
          <w:szCs w:val="28"/>
        </w:rPr>
        <w:t xml:space="preserve">«О направлении проекта внесения изменений в </w:t>
      </w:r>
      <w:r w:rsidR="002D368B" w:rsidRPr="00096093">
        <w:rPr>
          <w:bCs/>
          <w:sz w:val="28"/>
          <w:szCs w:val="28"/>
        </w:rPr>
        <w:t>п</w:t>
      </w:r>
      <w:r w:rsidR="00AD343D" w:rsidRPr="00096093">
        <w:rPr>
          <w:bCs/>
          <w:sz w:val="28"/>
          <w:szCs w:val="28"/>
        </w:rPr>
        <w:t xml:space="preserve">равила землепользования и застройки </w:t>
      </w:r>
      <w:r w:rsidR="00ED2691">
        <w:rPr>
          <w:sz w:val="28"/>
          <w:szCs w:val="28"/>
          <w:lang w:eastAsia="x-none"/>
        </w:rPr>
        <w:t>Уральского</w:t>
      </w:r>
      <w:r w:rsidR="00AD343D" w:rsidRPr="00096093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481C9C" w:rsidRPr="00096093">
        <w:rPr>
          <w:sz w:val="28"/>
          <w:szCs w:val="28"/>
        </w:rPr>
        <w:t xml:space="preserve"> </w:t>
      </w:r>
      <w:r w:rsidR="00481C9C" w:rsidRPr="00096093">
        <w:rPr>
          <w:bCs/>
          <w:sz w:val="28"/>
          <w:szCs w:val="28"/>
        </w:rPr>
        <w:t>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r w:rsidR="00ED2691">
        <w:rPr>
          <w:sz w:val="28"/>
          <w:szCs w:val="28"/>
          <w:lang w:eastAsia="x-none"/>
        </w:rPr>
        <w:t>Уральского</w:t>
      </w:r>
      <w:r w:rsidR="008547A2" w:rsidRPr="008547A2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6323D9" w:rsidRPr="00483329">
        <w:rPr>
          <w:sz w:val="28"/>
          <w:szCs w:val="28"/>
          <w:lang w:eastAsia="x-none"/>
        </w:rPr>
        <w:t>9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6323D9" w:rsidRPr="00483329">
        <w:rPr>
          <w:sz w:val="28"/>
          <w:szCs w:val="28"/>
          <w:lang w:eastAsia="x-none"/>
        </w:rPr>
        <w:t>ноября</w:t>
      </w:r>
      <w:r w:rsidR="004333D6" w:rsidRPr="00483329">
        <w:rPr>
          <w:sz w:val="28"/>
          <w:szCs w:val="28"/>
          <w:lang w:eastAsia="x-none"/>
        </w:rPr>
        <w:t xml:space="preserve"> 2020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</w:t>
      </w:r>
      <w:r w:rsidR="00ED2691">
        <w:rPr>
          <w:sz w:val="28"/>
          <w:szCs w:val="28"/>
          <w:lang w:eastAsia="x-none"/>
        </w:rPr>
        <w:t xml:space="preserve"> </w:t>
      </w:r>
      <w:r w:rsidR="004333D6" w:rsidRPr="00483329">
        <w:rPr>
          <w:sz w:val="28"/>
          <w:szCs w:val="28"/>
          <w:lang w:val="x-none" w:eastAsia="x-none"/>
        </w:rPr>
        <w:t xml:space="preserve">землепользованию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6323D9" w:rsidRPr="00483329">
        <w:rPr>
          <w:sz w:val="28"/>
          <w:szCs w:val="28"/>
          <w:lang w:eastAsia="x-none"/>
        </w:rPr>
        <w:t>16 ноября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20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Pr="00483329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Внести</w:t>
      </w:r>
      <w:r w:rsidR="00DF6B76" w:rsidRPr="00483329">
        <w:rPr>
          <w:sz w:val="28"/>
          <w:szCs w:val="28"/>
        </w:rPr>
        <w:t xml:space="preserve"> в текстовую часть </w:t>
      </w:r>
      <w:r w:rsidR="002D368B" w:rsidRPr="00483329">
        <w:rPr>
          <w:sz w:val="28"/>
          <w:szCs w:val="28"/>
        </w:rPr>
        <w:t>п</w:t>
      </w:r>
      <w:r w:rsidR="00DF6B76" w:rsidRPr="00483329">
        <w:rPr>
          <w:sz w:val="28"/>
          <w:szCs w:val="28"/>
        </w:rPr>
        <w:t xml:space="preserve">равил землепользования и застройки </w:t>
      </w:r>
      <w:r w:rsidR="00ED2691">
        <w:rPr>
          <w:sz w:val="28"/>
          <w:szCs w:val="28"/>
          <w:lang w:eastAsia="x-none"/>
        </w:rPr>
        <w:t>Уральского</w:t>
      </w:r>
      <w:r w:rsidR="006323D9" w:rsidRPr="00483329">
        <w:rPr>
          <w:sz w:val="28"/>
          <w:szCs w:val="28"/>
        </w:rPr>
        <w:t xml:space="preserve"> сельского поселения Чайковского муниципального района Пермского края, утвержденны</w:t>
      </w:r>
      <w:r w:rsidR="002D368B" w:rsidRPr="00483329">
        <w:rPr>
          <w:sz w:val="28"/>
          <w:szCs w:val="28"/>
        </w:rPr>
        <w:t>х</w:t>
      </w:r>
      <w:r w:rsidR="006323D9" w:rsidRPr="00483329">
        <w:rPr>
          <w:sz w:val="28"/>
          <w:szCs w:val="28"/>
        </w:rPr>
        <w:t xml:space="preserve"> решением Совета депутатов </w:t>
      </w:r>
      <w:r w:rsidR="00ED2691">
        <w:rPr>
          <w:sz w:val="28"/>
          <w:szCs w:val="28"/>
          <w:lang w:eastAsia="x-none"/>
        </w:rPr>
        <w:t>Уральского</w:t>
      </w:r>
      <w:r w:rsidR="00691D33" w:rsidRPr="00483329">
        <w:rPr>
          <w:sz w:val="28"/>
          <w:szCs w:val="28"/>
        </w:rPr>
        <w:t xml:space="preserve"> </w:t>
      </w:r>
      <w:r w:rsidR="006323D9" w:rsidRPr="00483329">
        <w:rPr>
          <w:sz w:val="28"/>
          <w:szCs w:val="28"/>
        </w:rPr>
        <w:t xml:space="preserve">сельского поселения Чайковского муниципального района от </w:t>
      </w:r>
      <w:r w:rsidR="00691D33">
        <w:rPr>
          <w:sz w:val="28"/>
          <w:szCs w:val="28"/>
        </w:rPr>
        <w:t>2</w:t>
      </w:r>
      <w:r w:rsidR="00ED2691">
        <w:rPr>
          <w:sz w:val="28"/>
          <w:szCs w:val="28"/>
        </w:rPr>
        <w:t>5</w:t>
      </w:r>
      <w:r w:rsidR="00096093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t>декабря</w:t>
      </w:r>
      <w:r w:rsidR="006323D9" w:rsidRPr="00483329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br/>
      </w:r>
      <w:r w:rsidR="006323D9" w:rsidRPr="00483329">
        <w:rPr>
          <w:sz w:val="28"/>
          <w:szCs w:val="28"/>
        </w:rPr>
        <w:t>201</w:t>
      </w:r>
      <w:r w:rsidR="00691D33">
        <w:rPr>
          <w:sz w:val="28"/>
          <w:szCs w:val="28"/>
        </w:rPr>
        <w:t>2</w:t>
      </w:r>
      <w:r w:rsidR="006323D9" w:rsidRPr="00483329">
        <w:rPr>
          <w:sz w:val="28"/>
          <w:szCs w:val="28"/>
        </w:rPr>
        <w:t xml:space="preserve"> г. № </w:t>
      </w:r>
      <w:r w:rsidR="00691D33">
        <w:rPr>
          <w:sz w:val="28"/>
          <w:szCs w:val="28"/>
        </w:rPr>
        <w:t>2</w:t>
      </w:r>
      <w:r w:rsidR="00ED2691">
        <w:rPr>
          <w:sz w:val="28"/>
          <w:szCs w:val="28"/>
        </w:rPr>
        <w:t>48</w:t>
      </w:r>
      <w:r w:rsidR="006323D9" w:rsidRPr="00483329">
        <w:rPr>
          <w:sz w:val="28"/>
          <w:szCs w:val="28"/>
        </w:rPr>
        <w:t xml:space="preserve"> </w:t>
      </w:r>
      <w:r w:rsidR="004333D6" w:rsidRPr="00483329">
        <w:rPr>
          <w:rFonts w:cs="Calibri"/>
          <w:sz w:val="28"/>
          <w:szCs w:val="28"/>
        </w:rPr>
        <w:t>следующие изменения</w:t>
      </w:r>
      <w:r w:rsidR="00DF6B76" w:rsidRPr="00483329">
        <w:rPr>
          <w:sz w:val="28"/>
          <w:szCs w:val="28"/>
        </w:rPr>
        <w:t>:</w:t>
      </w:r>
    </w:p>
    <w:p w:rsidR="004333D6" w:rsidRPr="00483329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lastRenderedPageBreak/>
        <w:t>В</w:t>
      </w:r>
      <w:r w:rsidR="004333D6" w:rsidRPr="00483329">
        <w:rPr>
          <w:noProof/>
          <w:sz w:val="28"/>
          <w:szCs w:val="28"/>
        </w:rPr>
        <w:t xml:space="preserve"> стать</w:t>
      </w:r>
      <w:r w:rsidR="003F53C3" w:rsidRPr="00483329">
        <w:rPr>
          <w:noProof/>
          <w:sz w:val="28"/>
          <w:szCs w:val="28"/>
        </w:rPr>
        <w:t>е</w:t>
      </w:r>
      <w:r w:rsidR="004333D6" w:rsidRPr="00483329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</w:t>
      </w:r>
      <w:r w:rsidR="003F53C3" w:rsidRPr="00483329">
        <w:rPr>
          <w:noProof/>
          <w:sz w:val="28"/>
          <w:szCs w:val="28"/>
        </w:rPr>
        <w:t>»</w:t>
      </w:r>
      <w:r w:rsidR="004333D6" w:rsidRPr="00483329">
        <w:rPr>
          <w:noProof/>
          <w:sz w:val="28"/>
          <w:szCs w:val="28"/>
        </w:rPr>
        <w:t>: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567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«красные линии»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понятие «нек</w:t>
      </w:r>
      <w:r w:rsidR="00BF0CD3" w:rsidRPr="00483329">
        <w:rPr>
          <w:noProof/>
          <w:sz w:val="28"/>
          <w:szCs w:val="28"/>
        </w:rPr>
        <w:t>а</w:t>
      </w:r>
      <w:r w:rsidRPr="00483329">
        <w:rPr>
          <w:noProof/>
          <w:sz w:val="28"/>
          <w:szCs w:val="28"/>
        </w:rPr>
        <w:t xml:space="preserve">питальный объект недвижимости»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сооружений)».</w:t>
      </w:r>
    </w:p>
    <w:p w:rsidR="008B053C" w:rsidRPr="008B053C" w:rsidRDefault="008B053C" w:rsidP="008B053C">
      <w:pPr>
        <w:pStyle w:val="afe"/>
        <w:numPr>
          <w:ilvl w:val="1"/>
          <w:numId w:val="51"/>
        </w:numPr>
        <w:suppressAutoHyphens/>
        <w:spacing w:line="360" w:lineRule="exact"/>
        <w:ind w:left="0" w:firstLine="720"/>
        <w:rPr>
          <w:noProof/>
          <w:sz w:val="28"/>
          <w:szCs w:val="28"/>
        </w:rPr>
      </w:pPr>
      <w:r w:rsidRPr="008B053C">
        <w:rPr>
          <w:noProof/>
          <w:sz w:val="28"/>
          <w:szCs w:val="28"/>
        </w:rPr>
        <w:t>В статье 22 «Градостроительный регламент на территориях жилых зон, кодовое обозначение зоны (индекс) Ж1», пункт 1.1 «</w:t>
      </w:r>
      <w:r w:rsidRPr="008B053C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строительства»</w:t>
      </w:r>
      <w:r w:rsidRPr="008B053C">
        <w:rPr>
          <w:noProof/>
          <w:sz w:val="28"/>
          <w:szCs w:val="28"/>
        </w:rPr>
        <w:t xml:space="preserve"> изложить в следующей редакции:</w:t>
      </w:r>
    </w:p>
    <w:p w:rsidR="008B053C" w:rsidRDefault="008B053C" w:rsidP="008B053C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8B053C" w:rsidRPr="00204B08" w:rsidTr="009E4D57"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B053C" w:rsidRPr="00204B08" w:rsidTr="009E4D57">
        <w:trPr>
          <w:trHeight w:val="1518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индивидуального жилищного строительства – от 500 до 1500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до утверждения настоящих ПЗЗ – от 15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длина земельного участка, образованного до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утверждения настоящих ПЗЗ – от 20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</w:tc>
        <w:tc>
          <w:tcPr>
            <w:tcW w:w="7371" w:type="dxa"/>
            <w:vMerge/>
          </w:tcPr>
          <w:p w:rsidR="008B053C" w:rsidRPr="00204B08" w:rsidRDefault="008B053C" w:rsidP="009E4D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 xml:space="preserve">Блокированная </w:t>
            </w:r>
            <w:r w:rsidRPr="00204B08">
              <w:rPr>
                <w:sz w:val="28"/>
                <w:szCs w:val="28"/>
              </w:rPr>
              <w:lastRenderedPageBreak/>
              <w:t>жилая застройка (2.3).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1. Предельные (минимальные и (или) максимальные)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участков: 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Ведение огородничества (13.2).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100 до 400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5 до 50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5 до 50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до строений и сооружений – 1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3. Предельное количество этажей для строений – 1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этаж.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40 %.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Коммунальное обслуживание (3.1).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rFonts w:cs="Arial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Параметры земельных участков и объектов принимать в соответствии с требованиями технических регламентов, СНиП, СанПиН и других нормативных документов.</w:t>
            </w: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Земельные участки (территории) общего пользования (12.0).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8B053C" w:rsidRDefault="008B053C" w:rsidP="008B053C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8B053C" w:rsidRPr="00483329" w:rsidRDefault="008B053C" w:rsidP="008B053C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1.3. В статье 23 пункт 1 подпункта 1.3 «</w:t>
      </w:r>
      <w:r w:rsidRPr="00204B08">
        <w:rPr>
          <w:noProof/>
          <w:sz w:val="28"/>
          <w:szCs w:val="28"/>
        </w:rPr>
        <w:t>Условно разрешенные виды использования земельных участков и объе</w:t>
      </w:r>
      <w:r>
        <w:rPr>
          <w:noProof/>
          <w:sz w:val="28"/>
          <w:szCs w:val="28"/>
        </w:rPr>
        <w:t xml:space="preserve">ктов капитального строительства» </w:t>
      </w:r>
      <w:r w:rsidRPr="00483329">
        <w:rPr>
          <w:noProof/>
          <w:sz w:val="28"/>
          <w:szCs w:val="28"/>
        </w:rPr>
        <w:t>изложить в следующей редакции:</w:t>
      </w:r>
    </w:p>
    <w:p w:rsidR="008B053C" w:rsidRDefault="008B053C" w:rsidP="008B053C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8B053C" w:rsidRPr="00204B08" w:rsidTr="009E4D57"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B053C" w:rsidRPr="00204B08" w:rsidTr="009E4D57"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площадь земельного участка, предназначенного для индивидуального жилищного строительства – от 500 до 1500 кв. м; 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ширина земельного участка, образованного до утверждения настоящих ПЗЗ – от 15 до 100 м; 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до утверждения настоящих ПЗЗ – от 20 до 100 м;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>2. Минимальные отступы от границ земельных участков: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8B053C" w:rsidRPr="00204B08" w:rsidTr="009E4D57">
        <w:trPr>
          <w:trHeight w:val="1518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8B053C" w:rsidRPr="00204B08" w:rsidRDefault="008B053C" w:rsidP="009E4D57">
            <w:pPr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053C" w:rsidRPr="00204B08" w:rsidTr="009E4D57">
        <w:trPr>
          <w:trHeight w:val="983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Блокированная жилая застройка (2.3).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участков: 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8B053C" w:rsidRPr="00204B08" w:rsidRDefault="008B053C" w:rsidP="009E4D5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8B053C" w:rsidRPr="00204B08" w:rsidTr="009E4D57">
        <w:trPr>
          <w:trHeight w:val="17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Магазины (4.4).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600 до 20000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200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8B053C" w:rsidRPr="00204B08" w:rsidRDefault="008B053C" w:rsidP="009E4D57">
            <w:pPr>
              <w:widowControl w:val="0"/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Иные показатели - максимальная высота оград – 1м в легких конструкциях</w:t>
            </w:r>
          </w:p>
        </w:tc>
      </w:tr>
      <w:tr w:rsidR="008B053C" w:rsidRPr="00204B08" w:rsidTr="009E4D57">
        <w:trPr>
          <w:trHeight w:val="2799"/>
        </w:trPr>
        <w:tc>
          <w:tcPr>
            <w:tcW w:w="2547" w:type="dxa"/>
          </w:tcPr>
          <w:p w:rsidR="008B053C" w:rsidRPr="00204B08" w:rsidRDefault="008B053C" w:rsidP="009E4D5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Обслуживание автотранспорта (4.9).</w:t>
            </w:r>
          </w:p>
        </w:tc>
        <w:tc>
          <w:tcPr>
            <w:tcW w:w="7371" w:type="dxa"/>
          </w:tcPr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300 до 1500 кв.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8B053C" w:rsidRPr="00204B08" w:rsidRDefault="008B053C" w:rsidP="009E4D5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8B053C" w:rsidRPr="00204B08" w:rsidRDefault="008B053C" w:rsidP="009E4D57">
            <w:pPr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вместимость – до 300 </w:t>
            </w:r>
            <w:proofErr w:type="spellStart"/>
            <w:r w:rsidRPr="00204B08">
              <w:rPr>
                <w:color w:val="000000"/>
                <w:sz w:val="28"/>
                <w:szCs w:val="28"/>
              </w:rPr>
              <w:t>машиномест</w:t>
            </w:r>
            <w:proofErr w:type="spellEnd"/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B053C" w:rsidRPr="00483329" w:rsidRDefault="008B053C" w:rsidP="008B053C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A118A9" w:rsidRPr="00483329" w:rsidRDefault="008B053C" w:rsidP="008B053C">
      <w:pPr>
        <w:pStyle w:val="a6"/>
        <w:numPr>
          <w:ilvl w:val="1"/>
          <w:numId w:val="53"/>
        </w:numPr>
        <w:ind w:left="0" w:firstLine="720"/>
        <w:jc w:val="both"/>
        <w:rPr>
          <w:noProof/>
          <w:szCs w:val="28"/>
        </w:rPr>
      </w:pPr>
      <w:r>
        <w:rPr>
          <w:noProof/>
          <w:szCs w:val="28"/>
        </w:rPr>
        <w:t>В</w:t>
      </w:r>
      <w:r w:rsidR="00483329">
        <w:rPr>
          <w:noProof/>
          <w:szCs w:val="28"/>
        </w:rPr>
        <w:t xml:space="preserve"> с</w:t>
      </w:r>
      <w:r w:rsidR="002D368B" w:rsidRPr="00483329">
        <w:rPr>
          <w:noProof/>
          <w:szCs w:val="28"/>
        </w:rPr>
        <w:t>тать</w:t>
      </w:r>
      <w:r w:rsidR="00483329">
        <w:rPr>
          <w:noProof/>
          <w:szCs w:val="28"/>
        </w:rPr>
        <w:t>е</w:t>
      </w:r>
      <w:r w:rsidR="00A118A9" w:rsidRPr="00483329">
        <w:rPr>
          <w:noProof/>
          <w:szCs w:val="28"/>
        </w:rPr>
        <w:t xml:space="preserve"> 26 Градостроительный регламент на территориях зон сельскохозяйственного использхования (индекс) Сх1 «Зоны сельскохозяйственного использования» таблицу «Основные виды разрешенного использования земельных участков и объектов капитального строительства» дополнить </w:t>
      </w:r>
      <w:r w:rsidR="002D368B" w:rsidRPr="00483329">
        <w:rPr>
          <w:noProof/>
          <w:szCs w:val="28"/>
        </w:rPr>
        <w:t>пунктами</w:t>
      </w:r>
      <w:r w:rsidR="00A118A9" w:rsidRPr="00483329">
        <w:rPr>
          <w:noProof/>
          <w:szCs w:val="28"/>
        </w:rPr>
        <w:t xml:space="preserve"> следующего содержания:  </w:t>
      </w:r>
    </w:p>
    <w:p w:rsidR="00A118A9" w:rsidRPr="00483329" w:rsidRDefault="00A118A9" w:rsidP="00A118A9">
      <w:pPr>
        <w:pStyle w:val="a6"/>
        <w:ind w:left="567"/>
        <w:jc w:val="both"/>
        <w:rPr>
          <w:noProof/>
          <w:szCs w:val="28"/>
        </w:rPr>
      </w:pPr>
      <w:r w:rsidRPr="00483329">
        <w:rPr>
          <w:noProof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A118A9" w:rsidRPr="00483329" w:rsidTr="009D4604">
        <w:trPr>
          <w:trHeight w:val="652"/>
        </w:trPr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Сенокошение (1.19)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18A9" w:rsidRPr="00483329" w:rsidTr="009D4604"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bCs/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Выпас сельскохозяйственных животных (1.20)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118A9" w:rsidRPr="00483329" w:rsidRDefault="00A118A9" w:rsidP="00A118A9">
      <w:pPr>
        <w:pStyle w:val="a6"/>
        <w:ind w:left="1440" w:hanging="873"/>
        <w:jc w:val="both"/>
        <w:rPr>
          <w:szCs w:val="28"/>
        </w:rPr>
      </w:pPr>
      <w:r w:rsidRPr="00483329">
        <w:rPr>
          <w:szCs w:val="28"/>
        </w:rPr>
        <w:t>».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 w:rsidRPr="00483329">
        <w:rPr>
          <w:szCs w:val="28"/>
        </w:rPr>
        <w:t>2</w:t>
      </w:r>
      <w:r w:rsidR="00102162" w:rsidRPr="00483329">
        <w:rPr>
          <w:szCs w:val="28"/>
        </w:rPr>
        <w:t xml:space="preserve">. Опубликовать решение в муниципальной газете «Огни Камы» </w:t>
      </w:r>
      <w:r w:rsidR="00102162"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 w:rsidRPr="00483329">
        <w:rPr>
          <w:color w:val="000000"/>
          <w:szCs w:val="28"/>
        </w:rPr>
        <w:t>3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A118A9" w:rsidP="00483329">
      <w:pPr>
        <w:spacing w:line="240" w:lineRule="atLeast"/>
        <w:ind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4</w:t>
      </w:r>
      <w:r w:rsidR="00102162" w:rsidRPr="00483329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483329">
        <w:rPr>
          <w:sz w:val="28"/>
          <w:szCs w:val="28"/>
        </w:rPr>
        <w:t>Гараев</w:t>
      </w:r>
      <w:proofErr w:type="spellEnd"/>
      <w:r w:rsidR="00102162" w:rsidRPr="00483329">
        <w:rPr>
          <w:sz w:val="28"/>
          <w:szCs w:val="28"/>
        </w:rPr>
        <w:t>).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sectPr w:rsidR="00617E0A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287E9E"/>
    <w:multiLevelType w:val="multilevel"/>
    <w:tmpl w:val="A30E0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75407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abstractNum w:abstractNumId="17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3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8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4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17"/>
  </w:num>
  <w:num w:numId="6">
    <w:abstractNumId w:val="38"/>
  </w:num>
  <w:num w:numId="7">
    <w:abstractNumId w:val="1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8"/>
  </w:num>
  <w:num w:numId="19">
    <w:abstractNumId w:val="6"/>
  </w:num>
  <w:num w:numId="20">
    <w:abstractNumId w:val="21"/>
  </w:num>
  <w:num w:numId="21">
    <w:abstractNumId w:val="4"/>
  </w:num>
  <w:num w:numId="22">
    <w:abstractNumId w:val="52"/>
  </w:num>
  <w:num w:numId="23">
    <w:abstractNumId w:val="36"/>
  </w:num>
  <w:num w:numId="24">
    <w:abstractNumId w:val="19"/>
  </w:num>
  <w:num w:numId="25">
    <w:abstractNumId w:val="24"/>
  </w:num>
  <w:num w:numId="26">
    <w:abstractNumId w:val="35"/>
  </w:num>
  <w:num w:numId="27">
    <w:abstractNumId w:val="13"/>
  </w:num>
  <w:num w:numId="28">
    <w:abstractNumId w:val="23"/>
  </w:num>
  <w:num w:numId="29">
    <w:abstractNumId w:val="49"/>
  </w:num>
  <w:num w:numId="30">
    <w:abstractNumId w:val="20"/>
  </w:num>
  <w:num w:numId="31">
    <w:abstractNumId w:val="51"/>
  </w:num>
  <w:num w:numId="32">
    <w:abstractNumId w:val="50"/>
  </w:num>
  <w:num w:numId="33">
    <w:abstractNumId w:val="25"/>
  </w:num>
  <w:num w:numId="34">
    <w:abstractNumId w:val="12"/>
  </w:num>
  <w:num w:numId="35">
    <w:abstractNumId w:val="29"/>
  </w:num>
  <w:num w:numId="36">
    <w:abstractNumId w:val="46"/>
  </w:num>
  <w:num w:numId="37">
    <w:abstractNumId w:val="9"/>
  </w:num>
  <w:num w:numId="38">
    <w:abstractNumId w:val="41"/>
  </w:num>
  <w:num w:numId="39">
    <w:abstractNumId w:val="32"/>
  </w:num>
  <w:num w:numId="40">
    <w:abstractNumId w:val="39"/>
  </w:num>
  <w:num w:numId="41">
    <w:abstractNumId w:val="45"/>
  </w:num>
  <w:num w:numId="42">
    <w:abstractNumId w:val="5"/>
  </w:num>
  <w:num w:numId="43">
    <w:abstractNumId w:val="11"/>
  </w:num>
  <w:num w:numId="44">
    <w:abstractNumId w:val="7"/>
  </w:num>
  <w:num w:numId="45">
    <w:abstractNumId w:val="14"/>
  </w:num>
  <w:num w:numId="46">
    <w:abstractNumId w:val="0"/>
  </w:num>
  <w:num w:numId="47">
    <w:abstractNumId w:val="26"/>
  </w:num>
  <w:num w:numId="48">
    <w:abstractNumId w:val="22"/>
  </w:num>
  <w:num w:numId="49">
    <w:abstractNumId w:val="30"/>
  </w:num>
  <w:num w:numId="50">
    <w:abstractNumId w:val="37"/>
  </w:num>
  <w:num w:numId="51">
    <w:abstractNumId w:val="8"/>
  </w:num>
  <w:num w:numId="52">
    <w:abstractNumId w:val="16"/>
  </w:num>
  <w:num w:numId="53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6325"/>
    <w:rsid w:val="00102162"/>
    <w:rsid w:val="001B30DB"/>
    <w:rsid w:val="001D02CD"/>
    <w:rsid w:val="001F7E28"/>
    <w:rsid w:val="00277994"/>
    <w:rsid w:val="0028175F"/>
    <w:rsid w:val="002C2234"/>
    <w:rsid w:val="002D368B"/>
    <w:rsid w:val="003176BF"/>
    <w:rsid w:val="0032156F"/>
    <w:rsid w:val="0032546F"/>
    <w:rsid w:val="003F3946"/>
    <w:rsid w:val="003F53C3"/>
    <w:rsid w:val="004333D6"/>
    <w:rsid w:val="00481C9C"/>
    <w:rsid w:val="00483329"/>
    <w:rsid w:val="004B58AE"/>
    <w:rsid w:val="004D78A0"/>
    <w:rsid w:val="004E74BD"/>
    <w:rsid w:val="005B0112"/>
    <w:rsid w:val="005B1FA8"/>
    <w:rsid w:val="005B7C2C"/>
    <w:rsid w:val="006155F3"/>
    <w:rsid w:val="00617E0A"/>
    <w:rsid w:val="006323D9"/>
    <w:rsid w:val="00637B08"/>
    <w:rsid w:val="00691D33"/>
    <w:rsid w:val="006A0B3F"/>
    <w:rsid w:val="006F1075"/>
    <w:rsid w:val="006F395C"/>
    <w:rsid w:val="007907C5"/>
    <w:rsid w:val="007B340E"/>
    <w:rsid w:val="007B68BE"/>
    <w:rsid w:val="00817ACA"/>
    <w:rsid w:val="00836DE2"/>
    <w:rsid w:val="008547A2"/>
    <w:rsid w:val="008B053C"/>
    <w:rsid w:val="008D0170"/>
    <w:rsid w:val="008F4FE0"/>
    <w:rsid w:val="00905AA4"/>
    <w:rsid w:val="00915647"/>
    <w:rsid w:val="009260DE"/>
    <w:rsid w:val="0096652D"/>
    <w:rsid w:val="00A05867"/>
    <w:rsid w:val="00A0671D"/>
    <w:rsid w:val="00A118A9"/>
    <w:rsid w:val="00A8569C"/>
    <w:rsid w:val="00AA02BF"/>
    <w:rsid w:val="00AB16D9"/>
    <w:rsid w:val="00AB1A98"/>
    <w:rsid w:val="00AD343D"/>
    <w:rsid w:val="00BB6EA3"/>
    <w:rsid w:val="00BF0CD3"/>
    <w:rsid w:val="00C80448"/>
    <w:rsid w:val="00D71E8E"/>
    <w:rsid w:val="00D80AF5"/>
    <w:rsid w:val="00D86E57"/>
    <w:rsid w:val="00DB383F"/>
    <w:rsid w:val="00DF6126"/>
    <w:rsid w:val="00DF6B76"/>
    <w:rsid w:val="00E41E43"/>
    <w:rsid w:val="00E4613D"/>
    <w:rsid w:val="00E55D54"/>
    <w:rsid w:val="00E82118"/>
    <w:rsid w:val="00E97C4F"/>
    <w:rsid w:val="00EB5CE6"/>
    <w:rsid w:val="00ED2691"/>
    <w:rsid w:val="00EF2968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13888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2020-12-07T11:10:00Z</dcterms:created>
  <dcterms:modified xsi:type="dcterms:W3CDTF">2020-12-07T11:10:00Z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