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EC223F" w:rsidRDefault="00C77022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022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42.55pt;width:19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F859FC" w:rsidRPr="00977F00" w:rsidRDefault="00C77022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F859FC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F859F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F859FC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C77022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F859FC" w:rsidRPr="009B6B8D" w:rsidRDefault="00F859FC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77022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F859FC" w:rsidRPr="009B6B8D" w:rsidRDefault="00F859FC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EC223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EC223F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EC223F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>Внести изменения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1148, от 10.07.2019 № 1237, 06.09.2019 № 1508, от 09.10.2019 № 1650, от 24.10.2019 № 1733, от 29.11.2019 № 1868, от 25.12.2019 № 2012, от 25.02.2020 № 188, от 06.03.2020 № 241, от 14.04.2020 № 406, от 21.05.2020 № 504, от 17.06.2020 № 577, от 07.07.2020 № 627, от 27.08.2020 № 786</w:t>
      </w:r>
      <w:r w:rsidR="00F0794A" w:rsidRPr="00EC223F">
        <w:rPr>
          <w:rFonts w:ascii="Times New Roman" w:eastAsia="Times New Roman" w:hAnsi="Times New Roman"/>
          <w:sz w:val="28"/>
          <w:szCs w:val="24"/>
          <w:lang w:eastAsia="ru-RU"/>
        </w:rPr>
        <w:t>, от 30.09.2020 № 907, от 10.11.2020 № 1063, от 04.12.2020 № 1180, от 25.12.2020 № 1265, от 20.01.2021 № 41, от 26.01.2021 № 63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>, изложив ее в новой редакции согласно приложению к постановлению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</w:p>
    <w:p w:rsidR="00C3236C" w:rsidRPr="00EC223F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EC223F" w:rsidRDefault="00C3236C" w:rsidP="00A03466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EC223F" w:rsidRDefault="00C3236C" w:rsidP="00A03466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EC223F" w:rsidRDefault="00C3236C" w:rsidP="00A03466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</w:p>
    <w:p w:rsidR="007A2576" w:rsidRPr="00EC223F" w:rsidRDefault="007A2576" w:rsidP="00A03466">
      <w:pPr>
        <w:suppressAutoHyphens/>
        <w:spacing w:after="0" w:line="240" w:lineRule="exact"/>
        <w:ind w:left="55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A2576" w:rsidRPr="00EC223F" w:rsidRDefault="007A2576" w:rsidP="00A03466">
      <w:pPr>
        <w:suppressAutoHyphens/>
        <w:spacing w:after="0" w:line="240" w:lineRule="exact"/>
        <w:ind w:left="55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B95D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</w:p>
    <w:p w:rsidR="007A2576" w:rsidRPr="00EC223F" w:rsidRDefault="007A2576" w:rsidP="00A03466">
      <w:pPr>
        <w:suppressAutoHyphens/>
        <w:spacing w:after="0" w:line="240" w:lineRule="exact"/>
        <w:ind w:left="55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7A2576" w:rsidRPr="00EC223F" w:rsidRDefault="007A2576" w:rsidP="00A03466">
      <w:pPr>
        <w:suppressAutoHyphens/>
        <w:spacing w:after="0" w:line="240" w:lineRule="exact"/>
        <w:ind w:left="55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от _________</w:t>
      </w:r>
      <w:r w:rsidR="00B95D7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_ № ___</w:t>
      </w:r>
      <w:r w:rsidR="00B95D7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A2576" w:rsidRPr="00EC223F" w:rsidRDefault="007A2576" w:rsidP="007A2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576" w:rsidRPr="00EC223F" w:rsidRDefault="007A2576" w:rsidP="007A2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«Развитие культуры и молодежной политики </w:t>
      </w:r>
    </w:p>
    <w:p w:rsidR="007A2576" w:rsidRPr="00EC223F" w:rsidRDefault="007A2576" w:rsidP="007A2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>Чайковского городского округа»</w:t>
      </w:r>
    </w:p>
    <w:p w:rsidR="007A2576" w:rsidRPr="00EC223F" w:rsidRDefault="007A2576" w:rsidP="007A2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4B98" w:rsidRPr="00EC223F" w:rsidRDefault="007A2576" w:rsidP="007A25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67"/>
        <w:gridCol w:w="850"/>
        <w:gridCol w:w="1276"/>
        <w:gridCol w:w="284"/>
        <w:gridCol w:w="709"/>
        <w:gridCol w:w="283"/>
        <w:gridCol w:w="592"/>
        <w:gridCol w:w="684"/>
        <w:gridCol w:w="191"/>
        <w:gridCol w:w="801"/>
        <w:gridCol w:w="399"/>
        <w:gridCol w:w="451"/>
        <w:gridCol w:w="426"/>
      </w:tblGrid>
      <w:tr w:rsidR="00FF4B98" w:rsidRPr="00EC223F" w:rsidTr="00047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 и молодежной политики администрации Чайковского городского округа (далее - Управление КиМП).</w:t>
            </w:r>
          </w:p>
        </w:tc>
      </w:tr>
      <w:tr w:rsidR="00FF4B98" w:rsidRPr="00EC223F" w:rsidTr="00047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FF4B98" w:rsidRPr="00EC223F" w:rsidTr="00047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КиМП, УСИА</w:t>
            </w:r>
          </w:p>
        </w:tc>
      </w:tr>
      <w:tr w:rsidR="00FF4B98" w:rsidRPr="00EC223F" w:rsidTr="00047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«Сохранение и развитие культурного потенциала Чайковского городского округа».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«Кадровая политика в сфере культуры и молодежной политики».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«Обеспечение реализации муниципальной программы».</w:t>
            </w:r>
          </w:p>
        </w:tc>
      </w:tr>
      <w:tr w:rsidR="00FF4B98" w:rsidRPr="00EC223F" w:rsidTr="00047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2019-2023 годы, реализация муниципальной программы по этапам не предусмотрена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4B98" w:rsidRPr="00EC223F" w:rsidTr="00047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FF4B98" w:rsidRPr="00EC223F" w:rsidTr="00047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Повышение престижности и привлекательности профессий в сфере культуры.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Приведение в нормативное состояние учреждений </w:t>
            </w: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 и молодежной политики.</w:t>
            </w:r>
          </w:p>
        </w:tc>
      </w:tr>
      <w:tr w:rsidR="00FF4B98" w:rsidRPr="00EC223F" w:rsidTr="00047A21">
        <w:trPr>
          <w:trHeight w:val="26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FF4B98" w:rsidRPr="00EC223F" w:rsidTr="00047A21">
        <w:trPr>
          <w:trHeight w:val="5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2A160A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2A160A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FF4B98" w:rsidRPr="00EC223F" w:rsidRDefault="002A160A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2A160A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2A160A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2A160A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FF4B98" w:rsidRPr="00EC223F" w:rsidTr="00047A21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Увеличения числа посещений мероприятий, проводимых КДУ (по сравнению с базовым периодом)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3F27BB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F4B98" w:rsidRPr="00EC223F" w:rsidTr="00047A21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участников клубных формирований (по сравнению с базовым периодом)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3F27BB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F4B98" w:rsidRPr="00EC223F" w:rsidTr="00047A21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3F27BB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F4B98" w:rsidRPr="00EC223F" w:rsidTr="00047A21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посещаемости музейных учреждений реальными посетителями, (по сравнению с базовым периодом)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3F27BB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F4B98" w:rsidRPr="00EC223F" w:rsidTr="00047A21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FF4B98" w:rsidRPr="00EC223F" w:rsidTr="00047A21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3F27BB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FF4B98" w:rsidRPr="00EC223F" w:rsidTr="00047A21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3F27BB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 </w:t>
            </w:r>
          </w:p>
        </w:tc>
      </w:tr>
      <w:tr w:rsidR="00FF4B98" w:rsidRPr="00EC223F" w:rsidTr="00047A21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4B98" w:rsidRPr="00EC223F" w:rsidTr="00047A21">
        <w:trPr>
          <w:trHeight w:val="2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обеспеченности кадрами по основным профессиям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C2592B" w:rsidRPr="00EC223F" w:rsidTr="00047A21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ассигнований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Источники финансового</w:t>
            </w:r>
          </w:p>
          <w:p w:rsidR="00C2592B" w:rsidRPr="00EC223F" w:rsidRDefault="00C2592B" w:rsidP="00C2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C2592B" w:rsidRPr="00EC223F" w:rsidTr="00047A21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FF0F96" w:rsidP="00C2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C2592B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FF0F96" w:rsidP="00FF0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  <w:r w:rsidR="00C2592B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="00C2592B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FF0F96" w:rsidP="00C2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C2592B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FF0F96" w:rsidP="00C2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FF0F96" w:rsidP="00C25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C2592B" w:rsidRPr="00EC223F" w:rsidTr="00047A21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258 825,619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276 927,535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439 888,768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269 267,677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245 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713,652</w:t>
            </w:r>
          </w:p>
        </w:tc>
      </w:tr>
      <w:tr w:rsidR="00C2592B" w:rsidRPr="00EC223F" w:rsidTr="00047A21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251 931,069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253 736,837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256 418,505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248 013,652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243 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688,652</w:t>
            </w:r>
          </w:p>
        </w:tc>
      </w:tr>
      <w:tr w:rsidR="00C2592B" w:rsidRPr="00EC223F" w:rsidTr="00047A21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2 514,550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6 419,200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25 945,769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21 254,025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2 025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</w:tr>
      <w:tr w:rsidR="00C2592B" w:rsidRPr="00EC223F" w:rsidTr="00047A21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4 380,000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592B" w:rsidRPr="00EC223F" w:rsidTr="00047A21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B" w:rsidRPr="00EC223F" w:rsidRDefault="00C2592B" w:rsidP="00C259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592B" w:rsidRPr="00EC223F" w:rsidTr="00047A21">
        <w:trPr>
          <w:trHeight w:val="2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числа посещений мероприятий, проводимых КДУ к 2023 году составит 1,2%.</w:t>
            </w:r>
          </w:p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Увеличение числа участников клубных формирований (по сравнению с базовым периодом) к 2023 году составит 1,2%.</w:t>
            </w:r>
          </w:p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Увеличение числа посещений библиотек к 2023 году составит 1,2%.</w:t>
            </w:r>
          </w:p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Увеличение посещаемости музейных учреждений реальными посетителями (по сравнению с базовым периодом) к 2023 году составит 1,2%.</w:t>
            </w:r>
          </w:p>
          <w:p w:rsidR="00C2592B" w:rsidRPr="00EC223F" w:rsidRDefault="00C2592B" w:rsidP="00C259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Доля детей, обучающихся в ДШИ, ДМШ, ставших победителями и призерами региональных, всероссийских и международных мероприятий (по сравнению с базовым пери</w:t>
            </w:r>
            <w:r w:rsidR="008274D4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одом) к 2023 году составит 43%.</w:t>
            </w:r>
          </w:p>
        </w:tc>
      </w:tr>
    </w:tbl>
    <w:p w:rsidR="00FF4B98" w:rsidRPr="00EC223F" w:rsidRDefault="00FF4B98" w:rsidP="00FF4B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EC223F" w:rsidRDefault="00FF4B98" w:rsidP="00FF4B98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 муниципальной программы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FF4B98" w:rsidRPr="00EC223F" w:rsidRDefault="00FF4B98" w:rsidP="00FF4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FF4B98" w:rsidRPr="00EC223F" w:rsidRDefault="00FF4B98" w:rsidP="00FF4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Сфера культуры и молодежной политики включает 10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политики. Общая численность работающих в учреждениях составляет более 500 человек.</w:t>
      </w:r>
    </w:p>
    <w:p w:rsidR="00FF4B98" w:rsidRPr="00EC223F" w:rsidRDefault="00FF4B98" w:rsidP="00FF4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1.2. Приоритетом муниципальной политики в области культуры является решение следующих задач: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- снижение уровня подготовки кадров в сфере культуры;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ограничение влияния муниципальных органов на состояние культуры в округе в целом; 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- замедление процесса создания условий для творческой самореализации населения.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предотвращения негативных последствий при формировании Программы учитывались следующие принципы: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- адаптация проектов и мероприятий Программы к изменяющимся </w:t>
      </w: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внутренним и внешним условиям развития сферы культуры;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FF4B98" w:rsidRPr="00EC223F" w:rsidRDefault="00FF4B98" w:rsidP="00FF4B9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noProof/>
          <w:sz w:val="28"/>
          <w:szCs w:val="28"/>
          <w:lang w:eastAsia="ru-RU"/>
        </w:rPr>
        <w:t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качества услуг в сфере культуры и молодежной политики.</w:t>
      </w:r>
    </w:p>
    <w:p w:rsidR="00FF4B98" w:rsidRPr="00EC223F" w:rsidRDefault="00FF4B98" w:rsidP="00FF4B9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B98" w:rsidRPr="00EC223F" w:rsidRDefault="00FF4B98" w:rsidP="00FF4B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F4B98" w:rsidRPr="00EC223F" w:rsidSect="00A03466">
          <w:headerReference w:type="default" r:id="rId9"/>
          <w:footerReference w:type="default" r:id="rId10"/>
          <w:pgSz w:w="11906" w:h="16838"/>
          <w:pgMar w:top="1134" w:right="567" w:bottom="1134" w:left="1701" w:header="709" w:footer="0" w:gutter="0"/>
          <w:cols w:space="720"/>
        </w:sectPr>
      </w:pPr>
    </w:p>
    <w:p w:rsidR="00FF4B98" w:rsidRPr="00EC223F" w:rsidRDefault="00FF4B98" w:rsidP="00A03466">
      <w:pPr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2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FF4B98" w:rsidRPr="00EC223F" w:rsidRDefault="00FF4B98" w:rsidP="00A03466">
      <w:pPr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23F">
        <w:rPr>
          <w:rFonts w:ascii="Times New Roman" w:hAnsi="Times New Roman"/>
          <w:sz w:val="28"/>
          <w:szCs w:val="28"/>
          <w:lang w:eastAsia="ru-RU"/>
        </w:rPr>
        <w:t>к муниципальной программе «Развитие культуры и молодежной политики Чайковского городского округа»</w:t>
      </w:r>
    </w:p>
    <w:p w:rsidR="00FF4B98" w:rsidRPr="00EC223F" w:rsidRDefault="00FF4B98" w:rsidP="00FF4B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4B98" w:rsidRPr="00EC223F" w:rsidRDefault="00FF4B98" w:rsidP="00FF4B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FF4B98" w:rsidRPr="00EC223F" w:rsidRDefault="00FF4B98" w:rsidP="00FF4B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«Сохранение и развитие культурного потенциала Чайковского городского округа»</w:t>
      </w:r>
    </w:p>
    <w:p w:rsidR="00FF4B98" w:rsidRPr="00EC223F" w:rsidRDefault="00FF4B98" w:rsidP="00FF4B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67"/>
        <w:gridCol w:w="992"/>
        <w:gridCol w:w="709"/>
        <w:gridCol w:w="567"/>
        <w:gridCol w:w="142"/>
        <w:gridCol w:w="992"/>
        <w:gridCol w:w="142"/>
        <w:gridCol w:w="850"/>
        <w:gridCol w:w="426"/>
        <w:gridCol w:w="566"/>
        <w:gridCol w:w="709"/>
        <w:gridCol w:w="283"/>
        <w:gridCol w:w="1135"/>
      </w:tblGrid>
      <w:tr w:rsidR="00FF4B98" w:rsidRPr="00EC223F" w:rsidTr="003C6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 и молодежной политики администрации Чайковского городского округа (далее - Управление КиМП)</w:t>
            </w:r>
          </w:p>
        </w:tc>
      </w:tr>
      <w:tr w:rsidR="00FF4B98" w:rsidRPr="00EC223F" w:rsidTr="003C6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 администрации Чайковского городского округа (далее – УСИА)</w:t>
            </w:r>
          </w:p>
        </w:tc>
      </w:tr>
      <w:tr w:rsidR="00FF4B98" w:rsidRPr="00EC223F" w:rsidTr="003C6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КиМП, УСИА</w:t>
            </w:r>
          </w:p>
        </w:tc>
      </w:tr>
      <w:tr w:rsidR="00FF4B98" w:rsidRPr="00EC223F" w:rsidTr="003C6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2019-2023 годы, реализация Подпрограммы по этапам не предусмотрена</w:t>
            </w:r>
          </w:p>
        </w:tc>
      </w:tr>
      <w:tr w:rsidR="00FF4B98" w:rsidRPr="00EC223F" w:rsidTr="003C6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FF4B98" w:rsidRPr="00EC223F" w:rsidTr="003C6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Поддержка и развитие отрасли культуры.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4.Государственная поддержка отрасли культуры. 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Обеспечение доступа граждан к культурным ценностям.</w:t>
            </w:r>
          </w:p>
        </w:tc>
      </w:tr>
      <w:tr w:rsidR="00FF4B98" w:rsidRPr="00EC223F" w:rsidTr="008274D4">
        <w:trPr>
          <w:trHeight w:val="1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FF4B98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8274D4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8274D4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FF4B98" w:rsidRPr="00EC223F" w:rsidRDefault="008274D4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8274D4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8274D4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8274D4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FF4B98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зрителей</w:t>
            </w:r>
            <w:r w:rsidR="004423D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театральных мероприятий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47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  <w:r w:rsidR="00473F04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DB297B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FF4B98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7D7E11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4423D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культурно-массовых мероприятий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473F04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473F04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</w:tr>
      <w:tr w:rsidR="00FF4B98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7D7E11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  <w:tr w:rsidR="00FF4B98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7D7E11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посещений</w:t>
            </w:r>
            <w:r w:rsidR="007B4BA1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общедоступных (публичных) </w:t>
            </w:r>
            <w:r w:rsidR="007D7E11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224 960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473F04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153 482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4940D6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224 96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227 210</w:t>
            </w:r>
          </w:p>
        </w:tc>
      </w:tr>
      <w:tr w:rsidR="00FF4B98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7D7E11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посетителей</w:t>
            </w:r>
            <w:r w:rsidR="004423D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музейных </w:t>
            </w:r>
            <w:r w:rsidR="004423D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473F04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4940D6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4940D6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25 600</w:t>
            </w:r>
          </w:p>
        </w:tc>
      </w:tr>
      <w:tr w:rsidR="00FF4B98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82339F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кружков и секций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FF4B98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82339F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AE6B36" w:rsidRPr="00EC223F" w:rsidTr="003C6639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AE6B36" w:rsidRPr="00EC223F" w:rsidRDefault="00AE6B36" w:rsidP="00AE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52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E6B36" w:rsidRPr="00EC223F" w:rsidTr="003C6639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827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239 902,381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253 281,898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411 259,532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251 874,253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233 702,381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233 768,909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237 760,057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236 874,253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1 820,000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2 741,492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15 974,981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4 380,000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2 582,209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E6B36" w:rsidRPr="00EC223F" w:rsidTr="003C663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Увеличение количества </w:t>
            </w:r>
            <w:r w:rsidR="007D7E11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культурно-массовых </w:t>
            </w: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к 2023 году до 568 мероприятий.</w:t>
            </w:r>
          </w:p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Увеличение числа зрителей театральных мероприятий к 2023 году до 20000 человек.</w:t>
            </w:r>
          </w:p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Увеличение числа посетителей музейных учреждений к 2023 году до 25600 человек.</w:t>
            </w:r>
          </w:p>
          <w:p w:rsidR="00AE6B36" w:rsidRPr="00EC223F" w:rsidRDefault="000004BA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Количество посещений</w:t>
            </w:r>
            <w:r w:rsidR="00542918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общедоступных (публичных) </w:t>
            </w: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</w:t>
            </w:r>
            <w:r w:rsidR="00542918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="00AE6B36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227210 человек.</w:t>
            </w:r>
          </w:p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Доля детей, обучающихся в ДШИ, ДМШ, ставших победителями и призерами краевых (региональных), всероссийских и международных мероприятий от контингент</w:t>
            </w:r>
            <w:r w:rsidR="00413DC9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учащихся к 2023 году до 43%. </w:t>
            </w:r>
          </w:p>
        </w:tc>
      </w:tr>
    </w:tbl>
    <w:p w:rsidR="00FF4B98" w:rsidRPr="00EC223F" w:rsidRDefault="00FF4B98" w:rsidP="00FF4B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B9D" w:rsidRPr="00EC223F" w:rsidRDefault="003D4B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F4B98" w:rsidRPr="00EC223F" w:rsidRDefault="00FF4B98" w:rsidP="00A03466">
      <w:pPr>
        <w:suppressAutoHyphens/>
        <w:spacing w:after="0" w:line="240" w:lineRule="exact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FF4B98" w:rsidRPr="00EC223F" w:rsidRDefault="00FF4B98" w:rsidP="00A03466">
      <w:pPr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23F">
        <w:rPr>
          <w:rFonts w:ascii="Times New Roman" w:hAnsi="Times New Roman"/>
          <w:sz w:val="28"/>
          <w:szCs w:val="28"/>
          <w:lang w:eastAsia="ru-RU"/>
        </w:rPr>
        <w:t>к муниципальной программе «Развитие культуры и молодежной политики Чайковского городского округа»</w:t>
      </w:r>
    </w:p>
    <w:p w:rsidR="00FF4B98" w:rsidRPr="00EC223F" w:rsidRDefault="00FF4B98" w:rsidP="00FF4B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4B98" w:rsidRPr="00EC223F" w:rsidRDefault="00FF4B98" w:rsidP="00FF4B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FF4B98" w:rsidRPr="00EC223F" w:rsidRDefault="00FF4B98" w:rsidP="00FF4B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FF4B98" w:rsidRPr="00EC223F" w:rsidRDefault="00FF4B98" w:rsidP="00FF4B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564"/>
        <w:gridCol w:w="1142"/>
        <w:gridCol w:w="558"/>
        <w:gridCol w:w="709"/>
        <w:gridCol w:w="9"/>
        <w:gridCol w:w="983"/>
        <w:gridCol w:w="290"/>
        <w:gridCol w:w="702"/>
        <w:gridCol w:w="570"/>
        <w:gridCol w:w="422"/>
        <w:gridCol w:w="851"/>
        <w:gridCol w:w="141"/>
        <w:gridCol w:w="860"/>
      </w:tblGrid>
      <w:tr w:rsidR="00FF4B98" w:rsidRPr="00EC223F" w:rsidTr="009669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 и молодежной политики администрации Чайковского городского округа (далее - Управление КиМП)</w:t>
            </w:r>
          </w:p>
        </w:tc>
      </w:tr>
      <w:tr w:rsidR="00FF4B98" w:rsidRPr="00EC223F" w:rsidTr="009669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 администрации Чайковского городского округа (далее – УСИА)</w:t>
            </w:r>
          </w:p>
        </w:tc>
      </w:tr>
      <w:tr w:rsidR="00FF4B98" w:rsidRPr="00EC223F" w:rsidTr="009669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КиМП, УСИА</w:t>
            </w:r>
          </w:p>
        </w:tc>
      </w:tr>
      <w:tr w:rsidR="00FF4B98" w:rsidRPr="00EC223F" w:rsidTr="009669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2019-2023 годы, реализация Подпрограммы по этапам не предусмотрена</w:t>
            </w:r>
          </w:p>
        </w:tc>
      </w:tr>
      <w:tr w:rsidR="00FF4B98" w:rsidRPr="00EC223F" w:rsidTr="009669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FF4B98" w:rsidRPr="00EC223F" w:rsidTr="009669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Обеспечение нормативного состояния учреждений.</w:t>
            </w:r>
          </w:p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2.Проведение ремонтных работ.</w:t>
            </w:r>
          </w:p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3.Обновление материально-технической базы муниципальных учреждений</w:t>
            </w:r>
          </w:p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4.Обеспечение доступности учреждений дополнительного образования,  культуры и молодежной политики для инвалидов и других маломобильных групп населения.</w:t>
            </w:r>
          </w:p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FF4B98" w:rsidRPr="00EC223F" w:rsidRDefault="00FF4B98" w:rsidP="00FF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6.Сохранение историко-культурного наследия Чайковского городского округа.</w:t>
            </w:r>
          </w:p>
        </w:tc>
      </w:tr>
      <w:tr w:rsidR="00FF4B98" w:rsidRPr="00EC223F" w:rsidTr="0096694C">
        <w:trPr>
          <w:trHeight w:val="41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FF4B9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FF4B98" w:rsidRPr="00EC223F" w:rsidRDefault="00FF4B98" w:rsidP="009669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96694C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9669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FF4B9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учреждений в которыхпроведен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5761B5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5761B5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5761B5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5761B5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F4B9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учреждений обновивших 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материально-техническую базу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82428" w:rsidRPr="00EC223F" w:rsidTr="0096694C">
        <w:trPr>
          <w:trHeight w:val="344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282428" w:rsidRPr="00EC223F" w:rsidRDefault="00282428" w:rsidP="0028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0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82428" w:rsidRPr="00EC223F" w:rsidTr="0096694C">
        <w:trPr>
          <w:trHeight w:val="34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9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13 165,245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17 824,437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6 599,425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3 045,400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9 487,537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7 853,649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1 020,400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3 677,708  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9 970,788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6 254,025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2 025,000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282428" w:rsidRPr="00EC223F" w:rsidTr="009669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2023 году составит 98%.</w:t>
            </w:r>
          </w:p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2023 году составит 100 %.</w:t>
            </w:r>
          </w:p>
        </w:tc>
      </w:tr>
    </w:tbl>
    <w:p w:rsidR="00FF4B98" w:rsidRPr="00EC223F" w:rsidRDefault="00FF4B98" w:rsidP="00FF4B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4B98" w:rsidRPr="00EC223F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EC223F" w:rsidRDefault="00FF4B98" w:rsidP="00FF4B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F4B98" w:rsidRPr="00EC223F" w:rsidSect="00A03466">
          <w:pgSz w:w="11906" w:h="16838"/>
          <w:pgMar w:top="1134" w:right="567" w:bottom="567" w:left="1701" w:header="709" w:footer="408" w:gutter="0"/>
          <w:cols w:space="720"/>
        </w:sectPr>
      </w:pPr>
    </w:p>
    <w:p w:rsidR="00FF4B98" w:rsidRPr="00EC223F" w:rsidRDefault="00FF4B98" w:rsidP="00A03466">
      <w:pPr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2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FF4B98" w:rsidRPr="00EC223F" w:rsidRDefault="00FF4B98" w:rsidP="00A03466">
      <w:pPr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23F">
        <w:rPr>
          <w:rFonts w:ascii="Times New Roman" w:hAnsi="Times New Roman"/>
          <w:sz w:val="28"/>
          <w:szCs w:val="28"/>
          <w:lang w:eastAsia="ru-RU"/>
        </w:rPr>
        <w:t>к муниципальной программе «Развитие культуры и молодежной политики Чайковского городского округа»</w:t>
      </w:r>
    </w:p>
    <w:p w:rsidR="00FF4B98" w:rsidRPr="00EC223F" w:rsidRDefault="00FF4B98" w:rsidP="00FF4B9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B98" w:rsidRPr="00EC223F" w:rsidRDefault="00FF4B98" w:rsidP="00FF4B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FF4B98" w:rsidRPr="00EC223F" w:rsidRDefault="00FF4B98" w:rsidP="00FF4B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«Кадровая политика в сфере культуры и молодежной политики» </w:t>
      </w:r>
    </w:p>
    <w:p w:rsidR="00FF4B98" w:rsidRPr="00EC223F" w:rsidRDefault="00FF4B98" w:rsidP="00FF4B9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555"/>
        <w:gridCol w:w="1709"/>
        <w:gridCol w:w="982"/>
        <w:gridCol w:w="170"/>
        <w:gridCol w:w="539"/>
        <w:gridCol w:w="595"/>
        <w:gridCol w:w="255"/>
        <w:gridCol w:w="873"/>
        <w:gridCol w:w="297"/>
        <w:gridCol w:w="552"/>
        <w:gridCol w:w="556"/>
        <w:gridCol w:w="298"/>
        <w:gridCol w:w="839"/>
      </w:tblGrid>
      <w:tr w:rsidR="00FF4B98" w:rsidRPr="00EC223F" w:rsidTr="0096694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 и молодежной политики администрации Чайковского городского округа (далее - Управление КиМП)</w:t>
            </w:r>
          </w:p>
        </w:tc>
      </w:tr>
      <w:tr w:rsidR="00FF4B98" w:rsidRPr="00EC223F" w:rsidTr="0096694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F4B98" w:rsidRPr="00EC223F" w:rsidTr="0096694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КиМП</w:t>
            </w:r>
          </w:p>
        </w:tc>
      </w:tr>
      <w:tr w:rsidR="00FF4B98" w:rsidRPr="00EC223F" w:rsidTr="0096694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2019-2023 годы, реализация Подпрограммы по этапам не предусмотрена</w:t>
            </w:r>
          </w:p>
        </w:tc>
      </w:tr>
      <w:tr w:rsidR="00FF4B98" w:rsidRPr="00EC223F" w:rsidTr="0096694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FF4B98" w:rsidRPr="00EC223F" w:rsidTr="0096694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FF4B98" w:rsidRPr="00EC223F" w:rsidTr="0096694C">
        <w:trPr>
          <w:trHeight w:val="414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96694C" w:rsidRPr="00EC223F" w:rsidTr="0096694C">
        <w:trPr>
          <w:trHeight w:val="413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FF4B98" w:rsidRPr="00EC223F" w:rsidRDefault="0096694C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9669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96694C" w:rsidP="009669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96694C" w:rsidRPr="00EC223F" w:rsidTr="0096694C">
        <w:trPr>
          <w:trHeight w:val="413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756B47" w:rsidP="00756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специалистов 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получающих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социальные гарантии и льготы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8512B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B65BC2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B65BC2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B65BC2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B65BC2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B65BC2" w:rsidP="00FF4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</w:tr>
      <w:tr w:rsidR="0096694C" w:rsidRPr="00EC223F" w:rsidTr="00742C0E">
        <w:trPr>
          <w:trHeight w:val="18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504237" w:rsidRPr="00EC223F" w:rsidRDefault="00504237" w:rsidP="00504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59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6694C" w:rsidRPr="00EC223F" w:rsidTr="00742C0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96694C" w:rsidP="0050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504237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96694C" w:rsidP="009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504237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="00504237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9" w:rsidRPr="00EC223F" w:rsidRDefault="0096694C" w:rsidP="0050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504237" w:rsidRPr="00EC223F" w:rsidRDefault="00504237" w:rsidP="0050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96694C" w:rsidP="009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96694C" w:rsidP="009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96694C" w:rsidRPr="00EC223F" w:rsidTr="00742C0E">
        <w:trPr>
          <w:trHeight w:val="18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96694C" w:rsidP="0050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r w:rsidR="00504237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237" w:rsidRPr="00EC223F" w:rsidRDefault="0096694C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3 171,653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</w:tr>
      <w:tr w:rsidR="0096694C" w:rsidRPr="00EC223F" w:rsidTr="00742C0E">
        <w:trPr>
          <w:trHeight w:val="21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2 47</w:t>
            </w:r>
            <w:r w:rsidR="0096694C"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2 261,043</w:t>
            </w:r>
          </w:p>
        </w:tc>
      </w:tr>
      <w:tr w:rsidR="0096694C" w:rsidRPr="00EC223F" w:rsidTr="00742C0E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694,550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6694C" w:rsidRPr="00EC223F" w:rsidTr="00742C0E">
        <w:trPr>
          <w:trHeight w:val="2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96694C" w:rsidRPr="00EC223F" w:rsidTr="00742C0E">
        <w:trPr>
          <w:trHeight w:val="25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EC223F" w:rsidRDefault="00504237" w:rsidP="0050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37" w:rsidRPr="00EC223F" w:rsidRDefault="00504237" w:rsidP="005042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504237" w:rsidRPr="00EC223F" w:rsidTr="0096694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37" w:rsidRPr="00EC223F" w:rsidRDefault="00504237" w:rsidP="00504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37" w:rsidRPr="00EC223F" w:rsidRDefault="00504237" w:rsidP="00EC22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AD140E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специалистов получающих социальные гарантии и льготы</w:t>
            </w:r>
            <w:r w:rsidR="00F8512B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EC223F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8512B"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51 человек.</w:t>
            </w:r>
          </w:p>
        </w:tc>
      </w:tr>
    </w:tbl>
    <w:p w:rsidR="00FF4B98" w:rsidRPr="00EC223F" w:rsidRDefault="00FF4B98" w:rsidP="00FF4B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EC223F" w:rsidRDefault="00FF4B98" w:rsidP="00FF4B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4B98" w:rsidRPr="00EC223F" w:rsidRDefault="00FF4B98" w:rsidP="00FF4B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F4B98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FF4B98" w:rsidRPr="00EC223F" w:rsidRDefault="00FF4B98" w:rsidP="00A03466">
      <w:pPr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2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FF4B98" w:rsidRPr="00EC223F" w:rsidRDefault="00FF4B98" w:rsidP="00A03466">
      <w:pPr>
        <w:shd w:val="clear" w:color="auto" w:fill="FFFFFF"/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23F">
        <w:rPr>
          <w:rFonts w:ascii="Times New Roman" w:hAnsi="Times New Roman"/>
          <w:sz w:val="28"/>
          <w:szCs w:val="28"/>
          <w:lang w:eastAsia="ru-RU"/>
        </w:rPr>
        <w:t>к муниципальной программе «Развитие культуры и молодежной политики Чайковского городского округа»</w:t>
      </w:r>
    </w:p>
    <w:p w:rsidR="00FF4B98" w:rsidRPr="00EC223F" w:rsidRDefault="00FF4B98" w:rsidP="00FF4B9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B98" w:rsidRPr="00EC223F" w:rsidRDefault="00FF4B98" w:rsidP="00FF4B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FF4B98" w:rsidRPr="00EC223F" w:rsidRDefault="00FF4B98" w:rsidP="00FF4B9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C223F">
        <w:rPr>
          <w:rFonts w:ascii="Times New Roman" w:hAnsi="Times New Roman"/>
          <w:b/>
          <w:sz w:val="28"/>
          <w:szCs w:val="28"/>
          <w:lang w:eastAsia="ru-RU"/>
        </w:rPr>
        <w:t>подпрограммы«Обеспечение реализации муниципальной программы»</w:t>
      </w:r>
    </w:p>
    <w:p w:rsidR="00FF4B98" w:rsidRPr="00EC223F" w:rsidRDefault="00FF4B98" w:rsidP="00FF4B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6"/>
        <w:gridCol w:w="560"/>
        <w:gridCol w:w="708"/>
        <w:gridCol w:w="288"/>
        <w:gridCol w:w="563"/>
        <w:gridCol w:w="713"/>
        <w:gridCol w:w="1119"/>
        <w:gridCol w:w="158"/>
        <w:gridCol w:w="837"/>
        <w:gridCol w:w="433"/>
        <w:gridCol w:w="557"/>
        <w:gridCol w:w="724"/>
        <w:gridCol w:w="430"/>
        <w:gridCol w:w="839"/>
      </w:tblGrid>
      <w:tr w:rsidR="00FF4B98" w:rsidRPr="00EC223F" w:rsidTr="003E14B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культуры и молодежной политики администрации Чайковского городского округа (далее - Управление КиМП).</w:t>
            </w:r>
          </w:p>
        </w:tc>
      </w:tr>
      <w:tr w:rsidR="00FF4B98" w:rsidRPr="00EC223F" w:rsidTr="003E14B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F4B98" w:rsidRPr="00EC223F" w:rsidTr="003E14B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КиМП</w:t>
            </w:r>
          </w:p>
        </w:tc>
      </w:tr>
      <w:tr w:rsidR="00FF4B98" w:rsidRPr="00EC223F" w:rsidTr="003E14B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2019-2023 годы, реализация Подпрограммы по этапам не предусмотрена</w:t>
            </w:r>
          </w:p>
        </w:tc>
      </w:tr>
      <w:tr w:rsidR="00FF4B98" w:rsidRPr="00EC223F" w:rsidTr="003E14B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управленческой деятельности учреждений.</w:t>
            </w:r>
          </w:p>
        </w:tc>
      </w:tr>
      <w:tr w:rsidR="00FF4B98" w:rsidRPr="00EC223F" w:rsidTr="003E14B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213F8A" w:rsidRPr="00EC223F" w:rsidTr="006114F7">
        <w:trPr>
          <w:trHeight w:val="231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 показателя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213F8A" w:rsidRPr="00EC223F" w:rsidTr="006114F7">
        <w:trPr>
          <w:trHeight w:val="231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692881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692881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FF4B98" w:rsidRPr="00EC223F" w:rsidRDefault="00FF4B98" w:rsidP="00692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692881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692881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FF4B9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692881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692881" w:rsidP="00692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213F8A" w:rsidRPr="00EC223F" w:rsidTr="006114F7"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достижения показателей Программы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E52E94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213F8A" w:rsidRPr="00EC223F" w:rsidTr="006114F7"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просроченной кредиторской 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4B98" w:rsidRPr="00EC223F" w:rsidRDefault="00FF4B98" w:rsidP="00FF4B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8" w:rsidRPr="00EC223F" w:rsidRDefault="00FF4B98" w:rsidP="00FF4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41DF7" w:rsidRPr="00EC223F" w:rsidTr="00742C0E">
        <w:trPr>
          <w:trHeight w:val="243"/>
        </w:trPr>
        <w:tc>
          <w:tcPr>
            <w:tcW w:w="20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641DF7" w:rsidRPr="00EC223F" w:rsidRDefault="00641DF7" w:rsidP="00641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D0F46" w:rsidRPr="00EC223F" w:rsidTr="00742C0E">
        <w:trPr>
          <w:trHeight w:val="262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92881" w:rsidP="00641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641DF7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92881" w:rsidP="00641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92881" w:rsidP="00641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641DF7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92881" w:rsidP="0069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92881" w:rsidP="00692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BD0F46" w:rsidRPr="00EC223F" w:rsidTr="00742C0E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BD0F46" w:rsidP="00641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r w:rsidR="00641DF7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8 187,729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8 219,349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8 543,756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8 532,956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8 532,956</w:t>
            </w:r>
          </w:p>
        </w:tc>
      </w:tr>
      <w:tr w:rsidR="00BD0F46" w:rsidRPr="00EC223F" w:rsidTr="00742C0E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8 187,729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8 219,349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8 543,756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8 532,956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8 532,956</w:t>
            </w:r>
          </w:p>
        </w:tc>
      </w:tr>
      <w:tr w:rsidR="00BD0F46" w:rsidRPr="00EC223F" w:rsidTr="00742C0E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Пермского 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0,000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D0F46" w:rsidRPr="00EC223F" w:rsidTr="00742C0E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D0F46" w:rsidRPr="00EC223F" w:rsidTr="00742C0E">
        <w:trPr>
          <w:trHeight w:val="24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7" w:rsidRPr="00EC223F" w:rsidRDefault="00641DF7" w:rsidP="0064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F7" w:rsidRPr="00EC223F" w:rsidRDefault="00641DF7" w:rsidP="00641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641DF7" w:rsidRPr="00EC223F" w:rsidTr="006114F7"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Уровень достижения показателей Программы составит 95%.</w:t>
            </w:r>
          </w:p>
          <w:p w:rsidR="00641DF7" w:rsidRPr="00EC223F" w:rsidRDefault="00641DF7" w:rsidP="00641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641DF7" w:rsidRPr="00EC223F" w:rsidRDefault="00641DF7" w:rsidP="00641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 рублей - ежегодно).</w:t>
            </w:r>
          </w:p>
        </w:tc>
      </w:tr>
    </w:tbl>
    <w:p w:rsidR="00FF4B98" w:rsidRPr="00EC223F" w:rsidRDefault="00FF4B98" w:rsidP="00FF4B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FF4B98" w:rsidRPr="00EC223F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EC223F" w:rsidSect="00BF6A8C">
          <w:footerReference w:type="default" r:id="rId11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436036" w:rsidTr="00CA1086">
        <w:trPr>
          <w:trHeight w:val="690"/>
        </w:trPr>
        <w:tc>
          <w:tcPr>
            <w:tcW w:w="15608" w:type="dxa"/>
            <w:vAlign w:val="bottom"/>
          </w:tcPr>
          <w:tbl>
            <w:tblPr>
              <w:tblW w:w="15608" w:type="dxa"/>
              <w:tblInd w:w="93" w:type="dxa"/>
              <w:tblLayout w:type="fixed"/>
              <w:tblLook w:val="04A0"/>
            </w:tblPr>
            <w:tblGrid>
              <w:gridCol w:w="15608"/>
            </w:tblGrid>
            <w:tr w:rsidR="00436036" w:rsidRPr="00436036" w:rsidTr="00443659">
              <w:trPr>
                <w:trHeight w:val="690"/>
              </w:trPr>
              <w:tc>
                <w:tcPr>
                  <w:tcW w:w="15608" w:type="dxa"/>
                  <w:vAlign w:val="bottom"/>
                </w:tcPr>
                <w:p w:rsidR="00436036" w:rsidRPr="00EC223F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036" w:rsidRPr="00EC223F" w:rsidRDefault="00436036" w:rsidP="00A03466">
                  <w:pPr>
                    <w:tabs>
                      <w:tab w:val="left" w:pos="11166"/>
                      <w:tab w:val="left" w:pos="12095"/>
                    </w:tabs>
                    <w:autoSpaceDE w:val="0"/>
                    <w:autoSpaceDN w:val="0"/>
                    <w:adjustRightInd w:val="0"/>
                    <w:spacing w:after="0" w:line="240" w:lineRule="exact"/>
                    <w:ind w:left="9911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5 </w:t>
                  </w:r>
                </w:p>
                <w:p w:rsidR="00436036" w:rsidRPr="00EC223F" w:rsidRDefault="00436036" w:rsidP="00A03466">
                  <w:pPr>
                    <w:tabs>
                      <w:tab w:val="left" w:pos="11166"/>
                    </w:tabs>
                    <w:autoSpaceDE w:val="0"/>
                    <w:autoSpaceDN w:val="0"/>
                    <w:adjustRightInd w:val="0"/>
                    <w:spacing w:after="0" w:line="240" w:lineRule="exact"/>
                    <w:ind w:left="9911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муниципальной программе</w:t>
                  </w:r>
                </w:p>
                <w:p w:rsidR="00436036" w:rsidRPr="00EC223F" w:rsidRDefault="00436036" w:rsidP="00A03466">
                  <w:pPr>
                    <w:tabs>
                      <w:tab w:val="left" w:pos="11166"/>
                    </w:tabs>
                    <w:spacing w:after="0" w:line="240" w:lineRule="exact"/>
                    <w:ind w:left="991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EC223F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6036" w:rsidRPr="00EC223F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  <w:p w:rsidR="00436036" w:rsidRPr="00EC223F" w:rsidRDefault="00436036" w:rsidP="004360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EC223F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21681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1221"/>
                    <w:gridCol w:w="170"/>
                    <w:gridCol w:w="45"/>
                    <w:gridCol w:w="881"/>
                    <w:gridCol w:w="988"/>
                    <w:gridCol w:w="849"/>
                    <w:gridCol w:w="707"/>
                    <w:gridCol w:w="1133"/>
                    <w:gridCol w:w="993"/>
                    <w:gridCol w:w="1259"/>
                    <w:gridCol w:w="42"/>
                    <w:gridCol w:w="966"/>
                    <w:gridCol w:w="1210"/>
                    <w:gridCol w:w="67"/>
                    <w:gridCol w:w="500"/>
                    <w:gridCol w:w="70"/>
                    <w:gridCol w:w="640"/>
                    <w:gridCol w:w="74"/>
                    <w:gridCol w:w="635"/>
                    <w:gridCol w:w="79"/>
                    <w:gridCol w:w="489"/>
                    <w:gridCol w:w="80"/>
                    <w:gridCol w:w="575"/>
                    <w:gridCol w:w="736"/>
                    <w:gridCol w:w="80"/>
                    <w:gridCol w:w="656"/>
                    <w:gridCol w:w="389"/>
                    <w:gridCol w:w="266"/>
                    <w:gridCol w:w="162"/>
                    <w:gridCol w:w="37"/>
                    <w:gridCol w:w="350"/>
                    <w:gridCol w:w="106"/>
                    <w:gridCol w:w="324"/>
                    <w:gridCol w:w="74"/>
                    <w:gridCol w:w="257"/>
                    <w:gridCol w:w="54"/>
                    <w:gridCol w:w="432"/>
                    <w:gridCol w:w="111"/>
                    <w:gridCol w:w="58"/>
                    <w:gridCol w:w="214"/>
                    <w:gridCol w:w="434"/>
                    <w:gridCol w:w="7"/>
                    <w:gridCol w:w="141"/>
                    <w:gridCol w:w="238"/>
                    <w:gridCol w:w="276"/>
                    <w:gridCol w:w="155"/>
                    <w:gridCol w:w="185"/>
                    <w:gridCol w:w="315"/>
                    <w:gridCol w:w="317"/>
                    <w:gridCol w:w="222"/>
                    <w:gridCol w:w="595"/>
                    <w:gridCol w:w="259"/>
                    <w:gridCol w:w="558"/>
                  </w:tblGrid>
                  <w:tr w:rsidR="00436036" w:rsidRPr="00EC223F" w:rsidTr="002A137E">
                    <w:trPr>
                      <w:gridAfter w:val="27"/>
                      <w:wAfter w:w="6536" w:type="dxa"/>
                      <w:trHeight w:val="6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задачи, мероприятий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Объем финансирования,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(тыс. руб.)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 в том числе по годам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Базовое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  <w:tc>
                      <w:tcPr>
                        <w:tcW w:w="333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 по годам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  <w:p w:rsidR="00A03A20" w:rsidRPr="00EC223F" w:rsidRDefault="00A03A20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(факт)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1.  «Сохранение и развитие культурного потенциала Чайковского городского округа»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      </w: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  <w:trHeight w:val="23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92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1.1.1. Показ спектаклей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132 298,735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24 469,565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25 882,476 </w:t>
                        </w: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27 060,792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27 442,951</w:t>
                        </w: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27 442,951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1.1.1.1.</w:t>
                        </w:r>
                      </w:p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зрителей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27 734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744959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10 554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1.1.2. Обеспечение культурного отдыха населения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9 884,263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1 674,563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3 051,239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1.1.2.1.</w:t>
                        </w:r>
                      </w:p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744959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33 329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</w:tr>
                  <w:tr w:rsidR="006F2255" w:rsidRPr="00EC223F" w:rsidTr="002A137E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1.1.3. Организация и проведение  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культурно-массовых мероприятий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DC25C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245 634,391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50 350,091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44 598,294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DC25C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49 752,002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50 467,002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50 467,002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1.1.3.1.</w:t>
                        </w:r>
                      </w:p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участников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259 013  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744959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280 215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1.1.3.2.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B0483B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B0483B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621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 Организация деятельности клубных формирований и формирований         самодеятельного народного творчества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655,448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23 750,523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23 674,487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1.1.4.1.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клубных формирований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1.1.5. Библиотечное, библиографическое и информационное обслуживание пользователей библиотеки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114 859,310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23 975,459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21 693,111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1.1.5.1.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посещений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744959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153 482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93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 Организация публичного показа музейных предметов, музейных коллекций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70 993,592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14 059,569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14 156,564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1.1.6.1.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744959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21 070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25 200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25 500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25 600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50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1.1.7. Дополнительное образование детей художественно-эстетической направленности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326 0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91,093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62 659,312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63 948,241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3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Pr="00EC223F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Pr="00EC223F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1.1.7.1.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503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8016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1.1.7.2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обучающихся в ДШИ, ДМШ, участвующих в конкурсах, от общего числа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 Организация досуга детей, подростков и молодежи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КиМП 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963,039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21 279,251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11 806,868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625,640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22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1.1.8.2.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численности приоритетной группы (14 – 30 лет) от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общего количества участников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1.1.9. Организация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74 191,330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7 755,756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17 610,232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1.1.9.1.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607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 Реализация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45,450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мероприятий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ед.    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             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1.1.10.2. Количество участников мероприятий    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распространения новой коронавирусной инфекции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1.1.11.1.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B07B21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 по задаче № 1.1.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DC25C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146 510,670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228 138,256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228 327,094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DC25C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146 110,670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227 938,256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228 327,094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C375DE">
                    <w:trPr>
                      <w:gridAfter w:val="27"/>
                      <w:wAfter w:w="6536" w:type="dxa"/>
                      <w:trHeight w:val="8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1.2. Формирование культурного имиджа территории, развитие культурно-досуговой и социально-проектной деятельности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8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 Фестиваль искусств детей и юношества Пермского края им.Д.Б. Кабалевского «Наш Пермский край»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3 000,000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A33097" w:rsidRPr="00EC223F" w:rsidTr="002A137E">
                    <w:trPr>
                      <w:gridAfter w:val="9"/>
                      <w:wAfter w:w="2882" w:type="dxa"/>
                      <w:trHeight w:val="115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 Организация и проведение значимых мероприятий и юбилейных дат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10 079,038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2 350,000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4 279,038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 Международная академия молодых композиторов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3 630,040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230,040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стран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участниц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 День города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1A0173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722,455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322,455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участников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44500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1.2.2.3. Мероприятия, посвященные 75-летию Победы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 Культурно-просветительский проект «Аллея-45 года»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 Зимняя сказка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 Издательская деятельность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88,900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изданий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1.3. Поддержка и развитие отрасли культуры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65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1.3.1. Поддержка творческой деятельности и укрепление материально-технической базы муниципальных театров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74495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744959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573,296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744959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524,470</w:t>
                        </w:r>
                      </w:p>
                      <w:p w:rsidR="00F93D6B" w:rsidRPr="00EC223F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382,159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творческих проектов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1.3.1.2.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приобретенной мебели и технического и технологического оборудования, необходимого для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осуществления творческой деятельности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157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3 823,098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274,454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928,644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95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386F8E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336,551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3 445,772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386F8E" w:rsidP="00386F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8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DC25C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391,826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DC25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061,826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 Развитие и укрепление материально-технической базы домов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663,000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333,000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1.3.2.2. Ремонтные работы (текущий ремонт) зданий домов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728,826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728,826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1.3.2.2.1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4ED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1.3.3. Строительство дома культуры в деревне Буренка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6 198,978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1 198,978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1.3.3.1.</w:t>
                        </w:r>
                      </w:p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6139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F64ED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581D" w:rsidRPr="00EC223F" w:rsidRDefault="004A581D" w:rsidP="004A58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1.3.3.2.</w:t>
                        </w:r>
                      </w:p>
                      <w:p w:rsidR="00BF64ED" w:rsidRPr="00EC223F" w:rsidRDefault="004A581D" w:rsidP="004A581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разработанных ПСД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F7354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 Обеспечение музыкальными инструментами, оборудованием и материалами образовательных учреждений в сфере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0BFC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 Отапливаемый санузел на 8 кабин(строительство)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8F0BFC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 Административно-складское здание(строительство)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134 651,344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134 651,344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1.3.7. Организация и проведение мероприятий в сфере культуры на территории Пермского края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1165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1.3.7.1.                                             Количество </w:t>
                        </w:r>
                        <w:r w:rsidR="0011655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проведенных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11655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</w:t>
                        </w:r>
                        <w:r w:rsidR="002A137E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 Создание модельных муниципальных библиотек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5 000,000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2A137E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</w:t>
                        </w:r>
                        <w:r w:rsidR="00FF677F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.1.                                            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FF677F" w:rsidRPr="00EC223F" w:rsidTr="002A137E">
                    <w:trPr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744959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214 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93,800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8 244,695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2A137E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179 982,438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5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744959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13 104,100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854,470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="00A43D4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582,963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561,765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1 995,354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946,411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285,651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394,872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1.4. Федеральный проект «Культурная среда»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 Государственная поддержка отрасли культуры</w:t>
                        </w:r>
                      </w:p>
                    </w:tc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1.4.1.1.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1.4.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местный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1.5. Федеральный проект «Цифровая культура»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 Создание виртуальных концертных залов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1.5.1.1.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виртуальных концертных залов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1"/>
                      <w:wAfter w:w="558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1.5.</w:t>
                        </w: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5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0AAA" w:rsidRPr="00EC223F" w:rsidTr="00DA0AAA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0AAA" w:rsidRPr="00EC223F" w:rsidRDefault="00DA0AAA" w:rsidP="00DA0AA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1.6. Федеральный проект «Создание условий для реализации творческого потенциала нации (Творческие люди)»</w:t>
                        </w: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1.6.1. 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Государственная поддержка лучших сельских учреждений культуры</w:t>
                        </w:r>
                      </w:p>
                    </w:tc>
                    <w:tc>
                      <w:tcPr>
                        <w:tcW w:w="92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1.6.1.1.                                             Число учреждений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655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3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73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2A137E" w:rsidRPr="00EC223F" w:rsidTr="002A137E">
                    <w:trPr>
                      <w:gridAfter w:val="5"/>
                      <w:wAfter w:w="1951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1.6.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 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1 388 192,317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239 902,381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253 281,898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411 259,532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1 173 979,853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233 702,38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233 768,909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237 760,057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35 536,473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2 741,492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15 974,981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23 733,707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16 771,498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      </w: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      </w: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2.1. Обеспечение нормативного состояния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 Замена автоматической пожарной сигнализации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2.1.1.2. Проведение текущего ремонта противопожарного водопровода Вассятский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сельский дом культуры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819,126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344,403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2.2. Проведение ремонтных работ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 Текущий, капитальный ремонт муниципальных учреждений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10 884,627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2 162,099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5 573,820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17 696,025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 Ремонт входной группы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2.2.1.2. Ремонт отмостки фундаментов,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подвала 5-ти этажного здания и ремонт отмостки фундаментов, замена водостоков 3-х этажного здания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2.2.1.2.1.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2.2.1.3. Капитальный ремонт здания театра драмы и комедии по адресу: Пермский край, г. Чайковский, ул. Вокзальная д. 5/2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2.2.1.3.1.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15 671,025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 Реализация программ развития преобразованных муниципальных образований (ремонт помещений муниципальных учреждений)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1 839,029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839,788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2.2.2.1. Ремонт Ольховского сельского дома культуры МАУК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«Чайковский центр развития культуры» по адресу: Пермский край, с.Ольховка, ул. Школьная, 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31 259,469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2 734,099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17 097,637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2 700,000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12 723,656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2 448,099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7 126,849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18 535,813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2.3. Обновление материально-технической базы муниципальных учреждений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 Приобретение оборудования и инвентаря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5 547,059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4 565,459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449,257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139,536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309,721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29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284,93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8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 Приведение в нормативное состояние имущественны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2.5.1.1. Ремонт здания Большебукорский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2.5.1.1.1.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 Ремонт здания Вассятский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 Ремонт здания МБУ ДО «ЧДШИ №3»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2.5.1.4. Ремонт помещения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МБУК «Чайковская ЦБС»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Число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2.5.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2.6. Сохранение историко-культурного наследия Чайковского городского округа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 Ремонт и содержание объектов историко-культурного наследия в удовлетворительном состоянии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 Проект «Архитектурно-этнографический комплекс «Сайгатка»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разработанных ПСД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2.6.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27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Итого Подпрограмма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№ 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48 198,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363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7 563,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13 165,245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17 824,43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6 599,425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3 045,400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26 270,842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9 487,537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7 853,649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1 020,400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21 927,521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3 677,708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3. «Кадровая политика в сфере культуры и молодежной политики»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специалистов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5332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 Предоставление мер социальной поддержки отдельным категориям граждан, проживающим в сельской местности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694,55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поддержки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E2512" w:rsidRPr="00EC223F" w:rsidTr="008B55F4">
                    <w:trPr>
                      <w:gridAfter w:val="27"/>
                      <w:wAfter w:w="6536" w:type="dxa"/>
                      <w:trHeight w:val="1732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3.1.2. Социальные гарантии и льготы педагогическим работникам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3.1.2.1.</w:t>
                        </w: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специалистов получающих социальные гарантии и льготы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B84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B84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B84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B84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3.1.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Итого Подпрограмма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№ 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12 215,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3 171,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4.  «Обеспечение реализации муниципальной программы»</w:t>
                        </w: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4: Обеспечение управленческой деятельности учреждений</w:t>
                        </w: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4.1.1.1.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Уровень достижения показателей программы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4.1.1.2.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4.1.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 ПО ПРОГРАММЕ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1 490 623,251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258 825,619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276 927,535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439 888,768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269 267,677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245 713,652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1 253 788,715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251 931,069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253 736,837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256 418,505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248 013,652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243 688,652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58 158,544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2 514,550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6 419,200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25 945,769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21 254,025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2 025,000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23 733,707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4 380,000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16 771,498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2 582,209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436036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436036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436036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197DD5" w:rsidRPr="00436036" w:rsidRDefault="00197DD5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18BA" w:rsidRPr="00436036" w:rsidRDefault="008B18BA" w:rsidP="00036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436036" w:rsidRDefault="00C3236C" w:rsidP="005C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36C" w:rsidRPr="00436036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D0" w:rsidRDefault="00C643D0" w:rsidP="00DA1F22">
      <w:pPr>
        <w:spacing w:after="0" w:line="240" w:lineRule="auto"/>
      </w:pPr>
      <w:r>
        <w:separator/>
      </w:r>
    </w:p>
  </w:endnote>
  <w:endnote w:type="continuationSeparator" w:id="1">
    <w:p w:rsidR="00C643D0" w:rsidRDefault="00C643D0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6C" w:rsidRPr="008E796C" w:rsidRDefault="008E796C">
    <w:pPr>
      <w:pStyle w:val="ac"/>
      <w:rPr>
        <w:sz w:val="28"/>
      </w:rPr>
    </w:pPr>
    <w:proofErr w:type="spellStart"/>
    <w:r w:rsidRPr="008E796C">
      <w:rPr>
        <w:sz w:val="28"/>
      </w:rPr>
      <w:t>мнпа</w:t>
    </w:r>
    <w:proofErr w:type="spellEnd"/>
  </w:p>
  <w:p w:rsidR="008E796C" w:rsidRDefault="008E796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FC" w:rsidRDefault="00F859FC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D0" w:rsidRDefault="00C643D0" w:rsidP="00DA1F22">
      <w:pPr>
        <w:spacing w:after="0" w:line="240" w:lineRule="auto"/>
      </w:pPr>
      <w:r>
        <w:separator/>
      </w:r>
    </w:p>
  </w:footnote>
  <w:footnote w:type="continuationSeparator" w:id="1">
    <w:p w:rsidR="00C643D0" w:rsidRDefault="00C643D0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6C" w:rsidRPr="008E796C" w:rsidRDefault="008E796C" w:rsidP="008E796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E796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03.06.2021 г. Срок  приема заключений независимых экспертов до 12.06.2021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004BA"/>
    <w:rsid w:val="00015C47"/>
    <w:rsid w:val="000268E5"/>
    <w:rsid w:val="000362F8"/>
    <w:rsid w:val="00040899"/>
    <w:rsid w:val="00045A67"/>
    <w:rsid w:val="00047A21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4F71"/>
    <w:rsid w:val="00096539"/>
    <w:rsid w:val="000A46A9"/>
    <w:rsid w:val="000C324D"/>
    <w:rsid w:val="000E3B98"/>
    <w:rsid w:val="000F16E9"/>
    <w:rsid w:val="000F4CEA"/>
    <w:rsid w:val="0011655C"/>
    <w:rsid w:val="00152946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D6C0F"/>
    <w:rsid w:val="001E5001"/>
    <w:rsid w:val="001E5194"/>
    <w:rsid w:val="001F7C15"/>
    <w:rsid w:val="00203C02"/>
    <w:rsid w:val="0020718C"/>
    <w:rsid w:val="00213F8A"/>
    <w:rsid w:val="002432DA"/>
    <w:rsid w:val="002538FF"/>
    <w:rsid w:val="00265931"/>
    <w:rsid w:val="00265A1C"/>
    <w:rsid w:val="00270A61"/>
    <w:rsid w:val="00282428"/>
    <w:rsid w:val="002827BF"/>
    <w:rsid w:val="00283495"/>
    <w:rsid w:val="00294690"/>
    <w:rsid w:val="002A137E"/>
    <w:rsid w:val="002A160A"/>
    <w:rsid w:val="002B3C3C"/>
    <w:rsid w:val="002D425F"/>
    <w:rsid w:val="002D5CBC"/>
    <w:rsid w:val="002E7D81"/>
    <w:rsid w:val="002F3B75"/>
    <w:rsid w:val="00300FD1"/>
    <w:rsid w:val="0030200C"/>
    <w:rsid w:val="003138ED"/>
    <w:rsid w:val="003155D6"/>
    <w:rsid w:val="003207F1"/>
    <w:rsid w:val="0033585A"/>
    <w:rsid w:val="00336310"/>
    <w:rsid w:val="003453BF"/>
    <w:rsid w:val="00363877"/>
    <w:rsid w:val="003741B3"/>
    <w:rsid w:val="00385115"/>
    <w:rsid w:val="00386F8E"/>
    <w:rsid w:val="00391F58"/>
    <w:rsid w:val="00394728"/>
    <w:rsid w:val="003B6CB1"/>
    <w:rsid w:val="003C005B"/>
    <w:rsid w:val="003C6639"/>
    <w:rsid w:val="003D4B9D"/>
    <w:rsid w:val="003E14B6"/>
    <w:rsid w:val="003E398B"/>
    <w:rsid w:val="003F1962"/>
    <w:rsid w:val="003F27BB"/>
    <w:rsid w:val="003F749D"/>
    <w:rsid w:val="00400083"/>
    <w:rsid w:val="00413DC9"/>
    <w:rsid w:val="004143ED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5769"/>
    <w:rsid w:val="00462E7D"/>
    <w:rsid w:val="004642FC"/>
    <w:rsid w:val="0047070A"/>
    <w:rsid w:val="00473F04"/>
    <w:rsid w:val="004830EB"/>
    <w:rsid w:val="0049355E"/>
    <w:rsid w:val="004940D6"/>
    <w:rsid w:val="004A57C8"/>
    <w:rsid w:val="004A581D"/>
    <w:rsid w:val="004C2D31"/>
    <w:rsid w:val="004C3AAF"/>
    <w:rsid w:val="004D2D84"/>
    <w:rsid w:val="004E1D7E"/>
    <w:rsid w:val="004F6DFB"/>
    <w:rsid w:val="004F7354"/>
    <w:rsid w:val="00503961"/>
    <w:rsid w:val="00504237"/>
    <w:rsid w:val="005043CD"/>
    <w:rsid w:val="00511952"/>
    <w:rsid w:val="0053181C"/>
    <w:rsid w:val="00533101"/>
    <w:rsid w:val="00534282"/>
    <w:rsid w:val="00542918"/>
    <w:rsid w:val="00554062"/>
    <w:rsid w:val="0056318A"/>
    <w:rsid w:val="005634E5"/>
    <w:rsid w:val="0057227A"/>
    <w:rsid w:val="005761B5"/>
    <w:rsid w:val="005824C4"/>
    <w:rsid w:val="00587288"/>
    <w:rsid w:val="005A4F5B"/>
    <w:rsid w:val="005C0B42"/>
    <w:rsid w:val="005C2152"/>
    <w:rsid w:val="005C3622"/>
    <w:rsid w:val="005C3CA8"/>
    <w:rsid w:val="005C6F17"/>
    <w:rsid w:val="005D1DAB"/>
    <w:rsid w:val="00605F66"/>
    <w:rsid w:val="00606A0E"/>
    <w:rsid w:val="006114F7"/>
    <w:rsid w:val="00613932"/>
    <w:rsid w:val="006139AA"/>
    <w:rsid w:val="0063263E"/>
    <w:rsid w:val="00641DF7"/>
    <w:rsid w:val="00654461"/>
    <w:rsid w:val="00656628"/>
    <w:rsid w:val="006605A6"/>
    <w:rsid w:val="00667D45"/>
    <w:rsid w:val="00692881"/>
    <w:rsid w:val="006A5F7A"/>
    <w:rsid w:val="006B185D"/>
    <w:rsid w:val="006D4FE0"/>
    <w:rsid w:val="006D6B6A"/>
    <w:rsid w:val="006E1D4B"/>
    <w:rsid w:val="006E64F2"/>
    <w:rsid w:val="006E7F69"/>
    <w:rsid w:val="006F2255"/>
    <w:rsid w:val="00703596"/>
    <w:rsid w:val="007065A5"/>
    <w:rsid w:val="007100C1"/>
    <w:rsid w:val="0071625D"/>
    <w:rsid w:val="00736E38"/>
    <w:rsid w:val="00742C0E"/>
    <w:rsid w:val="00744959"/>
    <w:rsid w:val="00755ECB"/>
    <w:rsid w:val="00756B47"/>
    <w:rsid w:val="00766B1F"/>
    <w:rsid w:val="00767E5E"/>
    <w:rsid w:val="0077364F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DE8"/>
    <w:rsid w:val="007C3EB5"/>
    <w:rsid w:val="007D7E11"/>
    <w:rsid w:val="007E562A"/>
    <w:rsid w:val="007F0073"/>
    <w:rsid w:val="007F3E04"/>
    <w:rsid w:val="007F4DDA"/>
    <w:rsid w:val="008016ED"/>
    <w:rsid w:val="00811320"/>
    <w:rsid w:val="0082339F"/>
    <w:rsid w:val="00823649"/>
    <w:rsid w:val="0082512A"/>
    <w:rsid w:val="008274D4"/>
    <w:rsid w:val="0083346C"/>
    <w:rsid w:val="008844F7"/>
    <w:rsid w:val="008A61F2"/>
    <w:rsid w:val="008B18BA"/>
    <w:rsid w:val="008B4BE2"/>
    <w:rsid w:val="008C0B80"/>
    <w:rsid w:val="008D5761"/>
    <w:rsid w:val="008E5B7D"/>
    <w:rsid w:val="008E796C"/>
    <w:rsid w:val="008F0BFC"/>
    <w:rsid w:val="00900A36"/>
    <w:rsid w:val="00907E22"/>
    <w:rsid w:val="00911577"/>
    <w:rsid w:val="00917FBC"/>
    <w:rsid w:val="00944C73"/>
    <w:rsid w:val="00956E63"/>
    <w:rsid w:val="009572F4"/>
    <w:rsid w:val="00960C43"/>
    <w:rsid w:val="0096694C"/>
    <w:rsid w:val="0097070D"/>
    <w:rsid w:val="0097076B"/>
    <w:rsid w:val="00970AE4"/>
    <w:rsid w:val="00977F00"/>
    <w:rsid w:val="00981F86"/>
    <w:rsid w:val="009A392C"/>
    <w:rsid w:val="009A4586"/>
    <w:rsid w:val="009B6B8D"/>
    <w:rsid w:val="009D54CD"/>
    <w:rsid w:val="009F01D7"/>
    <w:rsid w:val="009F197E"/>
    <w:rsid w:val="00A01145"/>
    <w:rsid w:val="00A03466"/>
    <w:rsid w:val="00A03A20"/>
    <w:rsid w:val="00A13995"/>
    <w:rsid w:val="00A200D9"/>
    <w:rsid w:val="00A24CE4"/>
    <w:rsid w:val="00A25D32"/>
    <w:rsid w:val="00A26167"/>
    <w:rsid w:val="00A33097"/>
    <w:rsid w:val="00A43D4C"/>
    <w:rsid w:val="00A66DF9"/>
    <w:rsid w:val="00A9046B"/>
    <w:rsid w:val="00AA21DF"/>
    <w:rsid w:val="00AA7BB8"/>
    <w:rsid w:val="00AC7D2A"/>
    <w:rsid w:val="00AD140E"/>
    <w:rsid w:val="00AD3009"/>
    <w:rsid w:val="00AD5C78"/>
    <w:rsid w:val="00AE0858"/>
    <w:rsid w:val="00AE6B36"/>
    <w:rsid w:val="00AF157B"/>
    <w:rsid w:val="00B00FCE"/>
    <w:rsid w:val="00B0442E"/>
    <w:rsid w:val="00B0483B"/>
    <w:rsid w:val="00B07B21"/>
    <w:rsid w:val="00B1131F"/>
    <w:rsid w:val="00B133B4"/>
    <w:rsid w:val="00B1438F"/>
    <w:rsid w:val="00B17689"/>
    <w:rsid w:val="00B22B1F"/>
    <w:rsid w:val="00B27042"/>
    <w:rsid w:val="00B34FC6"/>
    <w:rsid w:val="00B379F5"/>
    <w:rsid w:val="00B45954"/>
    <w:rsid w:val="00B65939"/>
    <w:rsid w:val="00B65BC2"/>
    <w:rsid w:val="00B6642B"/>
    <w:rsid w:val="00B80884"/>
    <w:rsid w:val="00B95D74"/>
    <w:rsid w:val="00BA21DB"/>
    <w:rsid w:val="00BB3909"/>
    <w:rsid w:val="00BC7F87"/>
    <w:rsid w:val="00BD0F46"/>
    <w:rsid w:val="00BD2884"/>
    <w:rsid w:val="00BD31B4"/>
    <w:rsid w:val="00BD76E5"/>
    <w:rsid w:val="00BE2512"/>
    <w:rsid w:val="00BE6199"/>
    <w:rsid w:val="00BF1EB1"/>
    <w:rsid w:val="00BF64ED"/>
    <w:rsid w:val="00BF6A8C"/>
    <w:rsid w:val="00C05D9A"/>
    <w:rsid w:val="00C208ED"/>
    <w:rsid w:val="00C21D0E"/>
    <w:rsid w:val="00C2592B"/>
    <w:rsid w:val="00C3236C"/>
    <w:rsid w:val="00C375DE"/>
    <w:rsid w:val="00C539B6"/>
    <w:rsid w:val="00C62A0E"/>
    <w:rsid w:val="00C643D0"/>
    <w:rsid w:val="00C66D3B"/>
    <w:rsid w:val="00C73C90"/>
    <w:rsid w:val="00C74384"/>
    <w:rsid w:val="00C77022"/>
    <w:rsid w:val="00C80022"/>
    <w:rsid w:val="00C83839"/>
    <w:rsid w:val="00C918FB"/>
    <w:rsid w:val="00C91BE6"/>
    <w:rsid w:val="00CA1086"/>
    <w:rsid w:val="00CA393F"/>
    <w:rsid w:val="00CA5B29"/>
    <w:rsid w:val="00CD2A39"/>
    <w:rsid w:val="00D16CFB"/>
    <w:rsid w:val="00D26D0B"/>
    <w:rsid w:val="00D43689"/>
    <w:rsid w:val="00D43B7D"/>
    <w:rsid w:val="00D45349"/>
    <w:rsid w:val="00D5092A"/>
    <w:rsid w:val="00D51CA7"/>
    <w:rsid w:val="00D54C8C"/>
    <w:rsid w:val="00D76B39"/>
    <w:rsid w:val="00D86F14"/>
    <w:rsid w:val="00D909BC"/>
    <w:rsid w:val="00D92FD3"/>
    <w:rsid w:val="00D95A79"/>
    <w:rsid w:val="00DA0AAA"/>
    <w:rsid w:val="00DA1F22"/>
    <w:rsid w:val="00DB0FDE"/>
    <w:rsid w:val="00DB297B"/>
    <w:rsid w:val="00DC0A6D"/>
    <w:rsid w:val="00DC1AC4"/>
    <w:rsid w:val="00DC25CB"/>
    <w:rsid w:val="00DC3916"/>
    <w:rsid w:val="00DC5732"/>
    <w:rsid w:val="00DD5758"/>
    <w:rsid w:val="00DD5CB0"/>
    <w:rsid w:val="00DE0574"/>
    <w:rsid w:val="00DE561D"/>
    <w:rsid w:val="00DF5E0F"/>
    <w:rsid w:val="00E173E9"/>
    <w:rsid w:val="00E234D6"/>
    <w:rsid w:val="00E254C7"/>
    <w:rsid w:val="00E344CE"/>
    <w:rsid w:val="00E52E94"/>
    <w:rsid w:val="00E65790"/>
    <w:rsid w:val="00E85A21"/>
    <w:rsid w:val="00EA18E6"/>
    <w:rsid w:val="00EB555B"/>
    <w:rsid w:val="00EC223F"/>
    <w:rsid w:val="00ED30FB"/>
    <w:rsid w:val="00EF3E06"/>
    <w:rsid w:val="00F00BC4"/>
    <w:rsid w:val="00F0794A"/>
    <w:rsid w:val="00F12D31"/>
    <w:rsid w:val="00F35561"/>
    <w:rsid w:val="00F423A1"/>
    <w:rsid w:val="00F45BA1"/>
    <w:rsid w:val="00F5045D"/>
    <w:rsid w:val="00F62BDD"/>
    <w:rsid w:val="00F63D22"/>
    <w:rsid w:val="00F653A1"/>
    <w:rsid w:val="00F71E01"/>
    <w:rsid w:val="00F73A7D"/>
    <w:rsid w:val="00F77909"/>
    <w:rsid w:val="00F83E3C"/>
    <w:rsid w:val="00F8512B"/>
    <w:rsid w:val="00F859FC"/>
    <w:rsid w:val="00F93D6B"/>
    <w:rsid w:val="00FC0DBB"/>
    <w:rsid w:val="00FD1FEF"/>
    <w:rsid w:val="00FF0F96"/>
    <w:rsid w:val="00FF4B98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5D4C-367B-4F88-9D2E-B7C1F881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10</TotalTime>
  <Pages>34</Pages>
  <Words>6411</Words>
  <Characters>36544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6</cp:revision>
  <cp:lastPrinted>2021-05-27T04:22:00Z</cp:lastPrinted>
  <dcterms:created xsi:type="dcterms:W3CDTF">2021-06-03T13:58:00Z</dcterms:created>
  <dcterms:modified xsi:type="dcterms:W3CDTF">2021-06-04T04:04:00Z</dcterms:modified>
</cp:coreProperties>
</file>